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2880"/>
        <w:gridCol w:w="4315"/>
      </w:tblGrid>
      <w:tr w:rsidR="009B51A3" w:rsidRPr="009B51A3" w14:paraId="755F5E2D" w14:textId="77777777" w:rsidTr="009B51A3">
        <w:trPr>
          <w:trHeight w:val="20"/>
        </w:trPr>
        <w:tc>
          <w:tcPr>
            <w:tcW w:w="10790" w:type="dxa"/>
            <w:gridSpan w:val="3"/>
          </w:tcPr>
          <w:p w14:paraId="4902395C" w14:textId="77777777" w:rsidR="009B51A3" w:rsidRPr="009B51A3" w:rsidRDefault="009B51A3" w:rsidP="009B51A3">
            <w:pPr>
              <w:rPr>
                <w:b/>
              </w:rPr>
            </w:pPr>
            <w:r w:rsidRPr="009B51A3">
              <w:rPr>
                <w:b/>
              </w:rPr>
              <w:t>For All Questions</w:t>
            </w:r>
          </w:p>
        </w:tc>
      </w:tr>
      <w:tr w:rsidR="009B51A3" w:rsidRPr="009B51A3" w14:paraId="3B773270" w14:textId="77777777" w:rsidTr="00493099">
        <w:trPr>
          <w:trHeight w:val="20"/>
        </w:trPr>
        <w:tc>
          <w:tcPr>
            <w:tcW w:w="3595" w:type="dxa"/>
            <w:shd w:val="clear" w:color="auto" w:fill="BFBFBF" w:themeFill="background1" w:themeFillShade="BF"/>
          </w:tcPr>
          <w:p w14:paraId="66ACE9CB" w14:textId="77777777" w:rsidR="009B51A3" w:rsidRPr="009B51A3" w:rsidRDefault="009B51A3" w:rsidP="009B51A3">
            <w:pPr>
              <w:jc w:val="center"/>
              <w:rPr>
                <w:b/>
              </w:rPr>
            </w:pPr>
            <w:r w:rsidRPr="009B51A3">
              <w:rPr>
                <w:b/>
              </w:rPr>
              <w:t>Write THIS...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14:paraId="1291FDEB" w14:textId="77777777" w:rsidR="009B51A3" w:rsidRPr="009B51A3" w:rsidRDefault="009B51A3" w:rsidP="009B51A3">
            <w:pPr>
              <w:jc w:val="center"/>
              <w:rPr>
                <w:b/>
              </w:rPr>
            </w:pPr>
            <w:r w:rsidRPr="009B51A3">
              <w:rPr>
                <w:b/>
              </w:rPr>
              <w:t>NOT That!</w:t>
            </w:r>
          </w:p>
        </w:tc>
        <w:tc>
          <w:tcPr>
            <w:tcW w:w="4315" w:type="dxa"/>
            <w:shd w:val="clear" w:color="auto" w:fill="BFBFBF" w:themeFill="background1" w:themeFillShade="BF"/>
          </w:tcPr>
          <w:p w14:paraId="05C6ECCD" w14:textId="77777777" w:rsidR="009B51A3" w:rsidRPr="009B51A3" w:rsidRDefault="009B51A3" w:rsidP="009B51A3">
            <w:pPr>
              <w:jc w:val="center"/>
              <w:rPr>
                <w:b/>
              </w:rPr>
            </w:pPr>
            <w:r w:rsidRPr="009B51A3">
              <w:rPr>
                <w:b/>
              </w:rPr>
              <w:t>Rational</w:t>
            </w:r>
          </w:p>
        </w:tc>
      </w:tr>
      <w:tr w:rsidR="00493099" w:rsidRPr="009B51A3" w14:paraId="7D8478BE" w14:textId="77777777" w:rsidTr="00493099">
        <w:trPr>
          <w:trHeight w:val="20"/>
        </w:trPr>
        <w:tc>
          <w:tcPr>
            <w:tcW w:w="3595" w:type="dxa"/>
            <w:hideMark/>
          </w:tcPr>
          <w:p w14:paraId="66D6D4D7" w14:textId="77777777" w:rsidR="009B51A3" w:rsidRPr="00493099" w:rsidRDefault="009B51A3" w:rsidP="009B51A3">
            <w:pPr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Handwriting that is clear, legible, dark enough and large enough to be read by someone who doesn’t know you</w:t>
            </w:r>
          </w:p>
        </w:tc>
        <w:tc>
          <w:tcPr>
            <w:tcW w:w="2880" w:type="dxa"/>
            <w:hideMark/>
          </w:tcPr>
          <w:p w14:paraId="5AB03A5C" w14:textId="77777777" w:rsidR="009B51A3" w:rsidRPr="00493099" w:rsidRDefault="009B51A3" w:rsidP="009B51A3">
            <w:pPr>
              <w:spacing w:after="160"/>
              <w:rPr>
                <w:sz w:val="18"/>
                <w:szCs w:val="18"/>
              </w:rPr>
            </w:pPr>
            <w:r w:rsidRPr="00493099">
              <w:rPr>
                <w:bCs/>
                <w:sz w:val="18"/>
                <w:szCs w:val="18"/>
              </w:rPr>
              <w:t>Messy, illegible, light, tiny writing that cannot be read</w:t>
            </w:r>
          </w:p>
        </w:tc>
        <w:tc>
          <w:tcPr>
            <w:tcW w:w="4315" w:type="dxa"/>
            <w:hideMark/>
          </w:tcPr>
          <w:p w14:paraId="35BBB7BC" w14:textId="77777777" w:rsidR="009B51A3" w:rsidRPr="00493099" w:rsidRDefault="009B51A3" w:rsidP="009B51A3">
            <w:pPr>
              <w:rPr>
                <w:sz w:val="18"/>
                <w:szCs w:val="18"/>
              </w:rPr>
            </w:pPr>
            <w:r w:rsidRPr="00493099">
              <w:rPr>
                <w:bCs/>
                <w:sz w:val="18"/>
                <w:szCs w:val="18"/>
              </w:rPr>
              <w:t>Answers deemed illegible by a reader and the table leader will earn no points on corresponding parts/questions</w:t>
            </w:r>
          </w:p>
        </w:tc>
      </w:tr>
      <w:tr w:rsidR="00493099" w:rsidRPr="009B51A3" w14:paraId="64F87AFF" w14:textId="77777777" w:rsidTr="00493099">
        <w:trPr>
          <w:trHeight w:val="20"/>
        </w:trPr>
        <w:tc>
          <w:tcPr>
            <w:tcW w:w="3595" w:type="dxa"/>
            <w:hideMark/>
          </w:tcPr>
          <w:p w14:paraId="5E18FBDF" w14:textId="77777777" w:rsidR="009B51A3" w:rsidRPr="00493099" w:rsidRDefault="009B51A3" w:rsidP="009B51A3">
            <w:pPr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Variables that are clearly denoted and appropriately used</w:t>
            </w:r>
          </w:p>
        </w:tc>
        <w:tc>
          <w:tcPr>
            <w:tcW w:w="2880" w:type="dxa"/>
            <w:hideMark/>
          </w:tcPr>
          <w:p w14:paraId="7F8374BF" w14:textId="77777777" w:rsidR="009B51A3" w:rsidRPr="00493099" w:rsidRDefault="009B51A3" w:rsidP="009B51A3">
            <w:pPr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 xml:space="preserve">Variables that are incorrectly represented </w:t>
            </w:r>
          </w:p>
        </w:tc>
        <w:tc>
          <w:tcPr>
            <w:tcW w:w="4315" w:type="dxa"/>
            <w:hideMark/>
          </w:tcPr>
          <w:p w14:paraId="7122C250" w14:textId="77777777" w:rsidR="009B51A3" w:rsidRPr="00493099" w:rsidRDefault="009B51A3" w:rsidP="009B51A3">
            <w:pPr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 xml:space="preserve">Variables have specific meaning and must be correctly denoted/abbreviated;  case matters for many variables: </w:t>
            </w:r>
          </w:p>
          <w:p w14:paraId="5D856BE0" w14:textId="77777777" w:rsidR="00067B11" w:rsidRPr="00493099" w:rsidRDefault="00067B11" w:rsidP="009B51A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 xml:space="preserve">M (not m) for molarity, </w:t>
            </w:r>
          </w:p>
          <w:p w14:paraId="6288511B" w14:textId="77777777" w:rsidR="00067B11" w:rsidRPr="00493099" w:rsidRDefault="00067B11" w:rsidP="009B51A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K (equilibrium constant) vs k (rate constant)</w:t>
            </w:r>
          </w:p>
          <w:p w14:paraId="229C65C2" w14:textId="77777777" w:rsidR="00067B11" w:rsidRPr="00493099" w:rsidRDefault="00067B11" w:rsidP="009B51A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m is meters, not minutes, moles or molarity, etc.</w:t>
            </w:r>
          </w:p>
        </w:tc>
      </w:tr>
      <w:tr w:rsidR="00493099" w:rsidRPr="009B51A3" w14:paraId="257705D4" w14:textId="77777777" w:rsidTr="00493099">
        <w:trPr>
          <w:trHeight w:val="20"/>
        </w:trPr>
        <w:tc>
          <w:tcPr>
            <w:tcW w:w="3595" w:type="dxa"/>
            <w:hideMark/>
          </w:tcPr>
          <w:p w14:paraId="2B937955" w14:textId="77777777" w:rsidR="009B51A3" w:rsidRPr="00493099" w:rsidRDefault="009B51A3" w:rsidP="009B51A3">
            <w:pPr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Abbreviations that are generally accepted (M, min, s, IMF, LDF, etc.)</w:t>
            </w:r>
          </w:p>
        </w:tc>
        <w:tc>
          <w:tcPr>
            <w:tcW w:w="2880" w:type="dxa"/>
            <w:hideMark/>
          </w:tcPr>
          <w:p w14:paraId="53A26C8C" w14:textId="77777777" w:rsidR="009B51A3" w:rsidRPr="00493099" w:rsidRDefault="009B51A3" w:rsidP="009B51A3">
            <w:pPr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 xml:space="preserve">Abbreviations that are not generally accepted/ are incorrect/ change the meaning (ex: mol for molecule, CL instead of Coulomb’s Law, </w:t>
            </w:r>
            <w:proofErr w:type="spellStart"/>
            <w:r w:rsidRPr="00493099">
              <w:rPr>
                <w:sz w:val="18"/>
                <w:szCs w:val="18"/>
              </w:rPr>
              <w:t>etc</w:t>
            </w:r>
            <w:proofErr w:type="spellEnd"/>
            <w:r w:rsidRPr="00493099">
              <w:rPr>
                <w:sz w:val="18"/>
                <w:szCs w:val="18"/>
              </w:rPr>
              <w:t>)</w:t>
            </w:r>
          </w:p>
        </w:tc>
        <w:tc>
          <w:tcPr>
            <w:tcW w:w="4315" w:type="dxa"/>
            <w:hideMark/>
          </w:tcPr>
          <w:p w14:paraId="192B1951" w14:textId="77777777" w:rsidR="009B51A3" w:rsidRPr="00493099" w:rsidRDefault="009B51A3" w:rsidP="009B51A3">
            <w:pPr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Abbreviations still must convey the correct information; if in doubt, avoid them – don’t create ambiguity in an answer by using an abbreviation</w:t>
            </w:r>
          </w:p>
        </w:tc>
      </w:tr>
      <w:tr w:rsidR="00493099" w:rsidRPr="009B51A3" w14:paraId="1D17ECF6" w14:textId="77777777" w:rsidTr="00493099">
        <w:trPr>
          <w:trHeight w:val="20"/>
        </w:trPr>
        <w:tc>
          <w:tcPr>
            <w:tcW w:w="3595" w:type="dxa"/>
            <w:hideMark/>
          </w:tcPr>
          <w:p w14:paraId="622761D7" w14:textId="77777777" w:rsidR="009B51A3" w:rsidRPr="00493099" w:rsidRDefault="009B51A3" w:rsidP="009B51A3">
            <w:pPr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Answer the specific question first, then “justify”, “explain” etc.</w:t>
            </w:r>
          </w:p>
        </w:tc>
        <w:tc>
          <w:tcPr>
            <w:tcW w:w="2880" w:type="dxa"/>
            <w:hideMark/>
          </w:tcPr>
          <w:p w14:paraId="1BE16E6B" w14:textId="77777777" w:rsidR="009B51A3" w:rsidRPr="00493099" w:rsidRDefault="009B51A3" w:rsidP="009B51A3">
            <w:pPr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Burying the answer in the text of the response</w:t>
            </w:r>
          </w:p>
        </w:tc>
        <w:tc>
          <w:tcPr>
            <w:tcW w:w="4315" w:type="dxa"/>
            <w:hideMark/>
          </w:tcPr>
          <w:p w14:paraId="3255B545" w14:textId="77777777" w:rsidR="009B51A3" w:rsidRPr="00493099" w:rsidRDefault="009B51A3" w:rsidP="009B51A3">
            <w:pPr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Make it easy to follow your answer and give you points</w:t>
            </w:r>
          </w:p>
        </w:tc>
      </w:tr>
      <w:tr w:rsidR="00493099" w:rsidRPr="009B51A3" w14:paraId="3EBD9EE7" w14:textId="77777777" w:rsidTr="00493099">
        <w:trPr>
          <w:trHeight w:val="20"/>
        </w:trPr>
        <w:tc>
          <w:tcPr>
            <w:tcW w:w="3595" w:type="dxa"/>
            <w:hideMark/>
          </w:tcPr>
          <w:p w14:paraId="39EA6B7D" w14:textId="77777777" w:rsidR="009B51A3" w:rsidRPr="00493099" w:rsidRDefault="009B51A3" w:rsidP="009B51A3">
            <w:pPr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Answers that are concise and direct</w:t>
            </w:r>
          </w:p>
        </w:tc>
        <w:tc>
          <w:tcPr>
            <w:tcW w:w="2880" w:type="dxa"/>
            <w:hideMark/>
          </w:tcPr>
          <w:p w14:paraId="712A773E" w14:textId="77777777" w:rsidR="009B51A3" w:rsidRPr="00493099" w:rsidRDefault="00493099" w:rsidP="009B5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Burying the answer in </w:t>
            </w:r>
            <w:r w:rsidR="009B51A3" w:rsidRPr="00493099">
              <w:rPr>
                <w:sz w:val="18"/>
                <w:szCs w:val="18"/>
              </w:rPr>
              <w:t>long response</w:t>
            </w:r>
          </w:p>
        </w:tc>
        <w:tc>
          <w:tcPr>
            <w:tcW w:w="4315" w:type="dxa"/>
            <w:hideMark/>
          </w:tcPr>
          <w:p w14:paraId="052D87C1" w14:textId="77777777" w:rsidR="009B51A3" w:rsidRPr="00493099" w:rsidRDefault="009B51A3" w:rsidP="009B51A3">
            <w:pPr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Make it easy to follow your answer and give you points</w:t>
            </w:r>
          </w:p>
        </w:tc>
      </w:tr>
      <w:tr w:rsidR="00493099" w:rsidRPr="009B51A3" w14:paraId="652C1769" w14:textId="77777777" w:rsidTr="00493099">
        <w:trPr>
          <w:trHeight w:val="20"/>
        </w:trPr>
        <w:tc>
          <w:tcPr>
            <w:tcW w:w="3595" w:type="dxa"/>
            <w:hideMark/>
          </w:tcPr>
          <w:p w14:paraId="0B85C8B5" w14:textId="77777777" w:rsidR="009B51A3" w:rsidRPr="00493099" w:rsidRDefault="009B51A3" w:rsidP="009B51A3">
            <w:pPr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Names of specific elements and compounds, “reactants”, “products”, etc.</w:t>
            </w:r>
          </w:p>
        </w:tc>
        <w:tc>
          <w:tcPr>
            <w:tcW w:w="2880" w:type="dxa"/>
            <w:hideMark/>
          </w:tcPr>
          <w:p w14:paraId="2671717E" w14:textId="77777777" w:rsidR="009B51A3" w:rsidRPr="00493099" w:rsidRDefault="009B51A3" w:rsidP="009B51A3">
            <w:pPr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“it”</w:t>
            </w:r>
          </w:p>
        </w:tc>
        <w:tc>
          <w:tcPr>
            <w:tcW w:w="4315" w:type="dxa"/>
            <w:hideMark/>
          </w:tcPr>
          <w:p w14:paraId="691BA8EA" w14:textId="77777777" w:rsidR="009B51A3" w:rsidRPr="00493099" w:rsidRDefault="009B51A3" w:rsidP="009B51A3">
            <w:pPr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Ambiguous</w:t>
            </w:r>
          </w:p>
        </w:tc>
      </w:tr>
      <w:tr w:rsidR="00493099" w:rsidRPr="009B51A3" w14:paraId="2A256CEE" w14:textId="77777777" w:rsidTr="00493099">
        <w:trPr>
          <w:trHeight w:val="20"/>
        </w:trPr>
        <w:tc>
          <w:tcPr>
            <w:tcW w:w="3595" w:type="dxa"/>
            <w:hideMark/>
          </w:tcPr>
          <w:p w14:paraId="678B0164" w14:textId="77777777" w:rsidR="009B51A3" w:rsidRPr="00493099" w:rsidRDefault="009B51A3" w:rsidP="009B51A3">
            <w:pPr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“Species”</w:t>
            </w:r>
          </w:p>
        </w:tc>
        <w:tc>
          <w:tcPr>
            <w:tcW w:w="2880" w:type="dxa"/>
            <w:hideMark/>
          </w:tcPr>
          <w:p w14:paraId="5AC148E5" w14:textId="77777777" w:rsidR="009B51A3" w:rsidRPr="00493099" w:rsidRDefault="009B51A3" w:rsidP="009B51A3">
            <w:pPr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“It”, “stuff”, etc.</w:t>
            </w:r>
          </w:p>
        </w:tc>
        <w:tc>
          <w:tcPr>
            <w:tcW w:w="4315" w:type="dxa"/>
            <w:hideMark/>
          </w:tcPr>
          <w:p w14:paraId="441664CA" w14:textId="77777777" w:rsidR="009B51A3" w:rsidRPr="00493099" w:rsidRDefault="009B51A3" w:rsidP="009B51A3">
            <w:pPr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Be formal in language</w:t>
            </w:r>
          </w:p>
        </w:tc>
      </w:tr>
      <w:tr w:rsidR="00493099" w:rsidRPr="009B51A3" w14:paraId="491F842F" w14:textId="77777777" w:rsidTr="00493099">
        <w:trPr>
          <w:trHeight w:val="20"/>
        </w:trPr>
        <w:tc>
          <w:tcPr>
            <w:tcW w:w="3595" w:type="dxa"/>
            <w:hideMark/>
          </w:tcPr>
          <w:p w14:paraId="78D0AE3D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A justification or explanation when it is part of the question</w:t>
            </w:r>
          </w:p>
        </w:tc>
        <w:tc>
          <w:tcPr>
            <w:tcW w:w="2880" w:type="dxa"/>
            <w:hideMark/>
          </w:tcPr>
          <w:p w14:paraId="78B95ACF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bCs/>
                <w:sz w:val="18"/>
                <w:szCs w:val="18"/>
              </w:rPr>
              <w:t>Only the answer without supporting it</w:t>
            </w:r>
          </w:p>
        </w:tc>
        <w:tc>
          <w:tcPr>
            <w:tcW w:w="4315" w:type="dxa"/>
            <w:hideMark/>
          </w:tcPr>
          <w:p w14:paraId="79DDB2C1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bCs/>
                <w:sz w:val="18"/>
                <w:szCs w:val="18"/>
              </w:rPr>
              <w:t>Justification/explanation required to earn point</w:t>
            </w:r>
          </w:p>
        </w:tc>
      </w:tr>
      <w:tr w:rsidR="00493099" w:rsidRPr="009B51A3" w14:paraId="527956BB" w14:textId="77777777" w:rsidTr="00493099">
        <w:trPr>
          <w:trHeight w:val="20"/>
        </w:trPr>
        <w:tc>
          <w:tcPr>
            <w:tcW w:w="3595" w:type="dxa"/>
            <w:hideMark/>
          </w:tcPr>
          <w:p w14:paraId="591ED278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“mass”, “volume”, etc.</w:t>
            </w:r>
          </w:p>
        </w:tc>
        <w:tc>
          <w:tcPr>
            <w:tcW w:w="2880" w:type="dxa"/>
            <w:hideMark/>
          </w:tcPr>
          <w:p w14:paraId="0E7D25CE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“size”</w:t>
            </w:r>
          </w:p>
        </w:tc>
        <w:tc>
          <w:tcPr>
            <w:tcW w:w="4315" w:type="dxa"/>
            <w:hideMark/>
          </w:tcPr>
          <w:p w14:paraId="72200C00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 xml:space="preserve">Be specific to indicate understanding </w:t>
            </w:r>
          </w:p>
        </w:tc>
      </w:tr>
      <w:tr w:rsidR="00493099" w:rsidRPr="009B51A3" w14:paraId="6CBCB79E" w14:textId="77777777" w:rsidTr="00493099">
        <w:trPr>
          <w:trHeight w:val="20"/>
        </w:trPr>
        <w:tc>
          <w:tcPr>
            <w:tcW w:w="3595" w:type="dxa"/>
            <w:hideMark/>
          </w:tcPr>
          <w:p w14:paraId="14013228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References to specific data or graphs when prompted to “explain how the data…”, “using the table below…” or something similar</w:t>
            </w:r>
          </w:p>
        </w:tc>
        <w:tc>
          <w:tcPr>
            <w:tcW w:w="2880" w:type="dxa"/>
            <w:hideMark/>
          </w:tcPr>
          <w:p w14:paraId="0CEDE36E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 xml:space="preserve">Generalizations about the data without specifically citing provided data or trials </w:t>
            </w:r>
          </w:p>
        </w:tc>
        <w:tc>
          <w:tcPr>
            <w:tcW w:w="4315" w:type="dxa"/>
            <w:hideMark/>
          </w:tcPr>
          <w:p w14:paraId="1D3A9D99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Required to earn point</w:t>
            </w:r>
          </w:p>
        </w:tc>
      </w:tr>
      <w:tr w:rsidR="00493099" w:rsidRPr="009B51A3" w14:paraId="2DB40729" w14:textId="77777777" w:rsidTr="00493099">
        <w:trPr>
          <w:trHeight w:val="20"/>
        </w:trPr>
        <w:tc>
          <w:tcPr>
            <w:tcW w:w="3595" w:type="dxa"/>
            <w:hideMark/>
          </w:tcPr>
          <w:p w14:paraId="1EDD1BB7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Particle view diagrams with ions and polar molecules orientated in the correct direction relative to each other</w:t>
            </w:r>
          </w:p>
        </w:tc>
        <w:tc>
          <w:tcPr>
            <w:tcW w:w="2880" w:type="dxa"/>
            <w:hideMark/>
          </w:tcPr>
          <w:p w14:paraId="237D03F0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Incorrectly oriented dipoles</w:t>
            </w:r>
          </w:p>
        </w:tc>
        <w:tc>
          <w:tcPr>
            <w:tcW w:w="4315" w:type="dxa"/>
            <w:hideMark/>
          </w:tcPr>
          <w:p w14:paraId="0E0CDA78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 xml:space="preserve">Drawings must demonstrate understanding of interactions at the molecular level </w:t>
            </w:r>
          </w:p>
          <w:p w14:paraId="1E25DDA0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(ex. 2015 #4)</w:t>
            </w:r>
          </w:p>
        </w:tc>
      </w:tr>
      <w:tr w:rsidR="00493099" w:rsidRPr="009B51A3" w14:paraId="219844B7" w14:textId="77777777" w:rsidTr="00493099">
        <w:trPr>
          <w:trHeight w:val="20"/>
        </w:trPr>
        <w:tc>
          <w:tcPr>
            <w:tcW w:w="3595" w:type="dxa"/>
            <w:hideMark/>
          </w:tcPr>
          <w:p w14:paraId="6E838709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An answer with units if “include units” is stated in the problem</w:t>
            </w:r>
          </w:p>
        </w:tc>
        <w:tc>
          <w:tcPr>
            <w:tcW w:w="2880" w:type="dxa"/>
            <w:hideMark/>
          </w:tcPr>
          <w:p w14:paraId="46E047A0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An answer without units</w:t>
            </w:r>
          </w:p>
        </w:tc>
        <w:tc>
          <w:tcPr>
            <w:tcW w:w="4315" w:type="dxa"/>
            <w:hideMark/>
          </w:tcPr>
          <w:p w14:paraId="25289992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If “include units” is written in the prompt, a unit is required to earn full points</w:t>
            </w:r>
          </w:p>
        </w:tc>
      </w:tr>
      <w:tr w:rsidR="00493099" w:rsidRPr="009B51A3" w14:paraId="7ED3B27B" w14:textId="77777777" w:rsidTr="00493099">
        <w:trPr>
          <w:trHeight w:val="20"/>
        </w:trPr>
        <w:tc>
          <w:tcPr>
            <w:tcW w:w="3595" w:type="dxa"/>
            <w:hideMark/>
          </w:tcPr>
          <w:p w14:paraId="6990EFAD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Complete dimensional analysis/work with units</w:t>
            </w:r>
          </w:p>
        </w:tc>
        <w:tc>
          <w:tcPr>
            <w:tcW w:w="2880" w:type="dxa"/>
            <w:hideMark/>
          </w:tcPr>
          <w:p w14:paraId="7847BFD2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Incomplete dimensional analysis without units</w:t>
            </w:r>
          </w:p>
        </w:tc>
        <w:tc>
          <w:tcPr>
            <w:tcW w:w="4315" w:type="dxa"/>
            <w:hideMark/>
          </w:tcPr>
          <w:p w14:paraId="7396E4C8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Including units clearly shows intended work, and allows points for “implied” calculations to be earned</w:t>
            </w:r>
          </w:p>
        </w:tc>
      </w:tr>
      <w:tr w:rsidR="00493099" w:rsidRPr="009B51A3" w14:paraId="6095AA83" w14:textId="77777777" w:rsidTr="00493099">
        <w:trPr>
          <w:trHeight w:val="20"/>
        </w:trPr>
        <w:tc>
          <w:tcPr>
            <w:tcW w:w="3595" w:type="dxa"/>
            <w:hideMark/>
          </w:tcPr>
          <w:p w14:paraId="1A731332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Values with units that match constants and that are the same throughout the equation</w:t>
            </w:r>
          </w:p>
        </w:tc>
        <w:tc>
          <w:tcPr>
            <w:tcW w:w="2880" w:type="dxa"/>
            <w:hideMark/>
          </w:tcPr>
          <w:p w14:paraId="4BB4180A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Values with units that do not match other values/constants</w:t>
            </w:r>
          </w:p>
        </w:tc>
        <w:tc>
          <w:tcPr>
            <w:tcW w:w="4315" w:type="dxa"/>
            <w:hideMark/>
          </w:tcPr>
          <w:p w14:paraId="570B1E49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Values must be the same unit through an equation, for both constants and variables</w:t>
            </w:r>
          </w:p>
        </w:tc>
      </w:tr>
      <w:tr w:rsidR="00493099" w:rsidRPr="009B51A3" w14:paraId="08FCAF2E" w14:textId="77777777" w:rsidTr="00493099">
        <w:trPr>
          <w:trHeight w:val="20"/>
        </w:trPr>
        <w:tc>
          <w:tcPr>
            <w:tcW w:w="3595" w:type="dxa"/>
            <w:hideMark/>
          </w:tcPr>
          <w:p w14:paraId="68BB552E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Answers expressed to the correct number of significant figures,  based on data given in the problem</w:t>
            </w:r>
          </w:p>
        </w:tc>
        <w:tc>
          <w:tcPr>
            <w:tcW w:w="2880" w:type="dxa"/>
            <w:hideMark/>
          </w:tcPr>
          <w:p w14:paraId="75BFADA2" w14:textId="77777777" w:rsidR="009B51A3" w:rsidRPr="00493099" w:rsidRDefault="009B51A3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 xml:space="preserve">Answers with an incorrect number of </w:t>
            </w:r>
            <w:r w:rsidR="00493099">
              <w:rPr>
                <w:sz w:val="18"/>
                <w:szCs w:val="18"/>
              </w:rPr>
              <w:t>sig figs</w:t>
            </w:r>
            <w:r w:rsidRPr="00493099">
              <w:rPr>
                <w:sz w:val="18"/>
                <w:szCs w:val="18"/>
              </w:rPr>
              <w:t xml:space="preserve"> or sig figs limited by molar mass, constants, etc.</w:t>
            </w:r>
          </w:p>
        </w:tc>
        <w:tc>
          <w:tcPr>
            <w:tcW w:w="4315" w:type="dxa"/>
            <w:hideMark/>
          </w:tcPr>
          <w:p w14:paraId="55751D95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1 pt traditionally is assessed somewhere in the FR for significant figures (typically found in a laboratory data question)</w:t>
            </w:r>
          </w:p>
        </w:tc>
      </w:tr>
      <w:tr w:rsidR="00493099" w:rsidRPr="009B51A3" w14:paraId="0DEBF8CB" w14:textId="77777777" w:rsidTr="00493099">
        <w:trPr>
          <w:trHeight w:val="20"/>
        </w:trPr>
        <w:tc>
          <w:tcPr>
            <w:tcW w:w="3595" w:type="dxa"/>
            <w:hideMark/>
          </w:tcPr>
          <w:p w14:paraId="60D92737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Answers that only refer to substances/data included in the prompt</w:t>
            </w:r>
          </w:p>
        </w:tc>
        <w:tc>
          <w:tcPr>
            <w:tcW w:w="2880" w:type="dxa"/>
            <w:hideMark/>
          </w:tcPr>
          <w:p w14:paraId="05C248F8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bCs/>
                <w:sz w:val="18"/>
                <w:szCs w:val="18"/>
              </w:rPr>
              <w:t>Answers with justifications based on situations or data that are not indicated in the prompt</w:t>
            </w:r>
          </w:p>
        </w:tc>
        <w:tc>
          <w:tcPr>
            <w:tcW w:w="4315" w:type="dxa"/>
            <w:hideMark/>
          </w:tcPr>
          <w:p w14:paraId="0975F95C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bCs/>
                <w:sz w:val="18"/>
                <w:szCs w:val="18"/>
              </w:rPr>
              <w:t xml:space="preserve">Do not claim something happened that was not present in prompt– any valid assumptions would be stated </w:t>
            </w:r>
          </w:p>
        </w:tc>
      </w:tr>
      <w:tr w:rsidR="00493099" w:rsidRPr="009B51A3" w14:paraId="0DD5BB6C" w14:textId="77777777" w:rsidTr="00493099">
        <w:trPr>
          <w:trHeight w:val="20"/>
        </w:trPr>
        <w:tc>
          <w:tcPr>
            <w:tcW w:w="3595" w:type="dxa"/>
            <w:hideMark/>
          </w:tcPr>
          <w:p w14:paraId="30B44A54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Analysis of given data in a thoughtful way that is based on chemical principals</w:t>
            </w:r>
          </w:p>
        </w:tc>
        <w:tc>
          <w:tcPr>
            <w:tcW w:w="2880" w:type="dxa"/>
            <w:hideMark/>
          </w:tcPr>
          <w:p w14:paraId="0F945667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Saying that data is wrong, that the data is impossible, calling the test writers liars, etc.</w:t>
            </w:r>
          </w:p>
        </w:tc>
        <w:tc>
          <w:tcPr>
            <w:tcW w:w="4315" w:type="dxa"/>
            <w:hideMark/>
          </w:tcPr>
          <w:p w14:paraId="48C377BF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The AP Exam is never going to try to trick you- it will not give false or impossible data</w:t>
            </w:r>
          </w:p>
        </w:tc>
      </w:tr>
      <w:tr w:rsidR="00493099" w:rsidRPr="009B51A3" w14:paraId="77E08B78" w14:textId="77777777" w:rsidTr="00493099">
        <w:trPr>
          <w:trHeight w:val="20"/>
        </w:trPr>
        <w:tc>
          <w:tcPr>
            <w:tcW w:w="3595" w:type="dxa"/>
            <w:hideMark/>
          </w:tcPr>
          <w:p w14:paraId="5B83DA53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Answers that refer to specific and correct glassware and interpret figures correctly</w:t>
            </w:r>
          </w:p>
        </w:tc>
        <w:tc>
          <w:tcPr>
            <w:tcW w:w="2880" w:type="dxa"/>
            <w:hideMark/>
          </w:tcPr>
          <w:p w14:paraId="6C5B95EA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Answers that use incorrect glassware for the task, particularly with regard to precision and/or misread figures of glassware</w:t>
            </w:r>
          </w:p>
        </w:tc>
        <w:tc>
          <w:tcPr>
            <w:tcW w:w="4315" w:type="dxa"/>
            <w:hideMark/>
          </w:tcPr>
          <w:p w14:paraId="10932434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Glassware has different specialized uses, and should be appropriately referenced/used/read based on the task</w:t>
            </w:r>
          </w:p>
        </w:tc>
      </w:tr>
      <w:tr w:rsidR="00493099" w:rsidRPr="009B51A3" w14:paraId="1F11ED26" w14:textId="77777777" w:rsidTr="00493099">
        <w:trPr>
          <w:trHeight w:val="20"/>
        </w:trPr>
        <w:tc>
          <w:tcPr>
            <w:tcW w:w="3595" w:type="dxa"/>
            <w:hideMark/>
          </w:tcPr>
          <w:p w14:paraId="7C537DB7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Explanation of an application of usage of a term</w:t>
            </w:r>
          </w:p>
        </w:tc>
        <w:tc>
          <w:tcPr>
            <w:tcW w:w="2880" w:type="dxa"/>
            <w:hideMark/>
          </w:tcPr>
          <w:p w14:paraId="2A0AD0E4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Definition of a term</w:t>
            </w:r>
          </w:p>
        </w:tc>
        <w:tc>
          <w:tcPr>
            <w:tcW w:w="4315" w:type="dxa"/>
            <w:hideMark/>
          </w:tcPr>
          <w:p w14:paraId="7BFC7498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A definition is not required on the exam – an explanation of how this term applies is needed</w:t>
            </w:r>
          </w:p>
        </w:tc>
      </w:tr>
      <w:tr w:rsidR="00493099" w:rsidRPr="009B51A3" w14:paraId="1639EFC4" w14:textId="77777777" w:rsidTr="00493099">
        <w:trPr>
          <w:trHeight w:val="20"/>
        </w:trPr>
        <w:tc>
          <w:tcPr>
            <w:tcW w:w="3595" w:type="dxa"/>
            <w:hideMark/>
          </w:tcPr>
          <w:p w14:paraId="0DC37D16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An explanation of the reason behind an observation of phenomena.</w:t>
            </w:r>
          </w:p>
        </w:tc>
        <w:tc>
          <w:tcPr>
            <w:tcW w:w="2880" w:type="dxa"/>
            <w:hideMark/>
          </w:tcPr>
          <w:p w14:paraId="1FA263E6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Stating a law/rule or observation without explaining the chemical principles or phenomena behind the law/rule/trend.</w:t>
            </w:r>
          </w:p>
        </w:tc>
        <w:tc>
          <w:tcPr>
            <w:tcW w:w="4315" w:type="dxa"/>
            <w:hideMark/>
          </w:tcPr>
          <w:p w14:paraId="33DF3D28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Simply stating the end result without discussing the reason for that result does not fully answer the question. Evidence and reasoning must both be included. (ex. 2019 #4)</w:t>
            </w:r>
          </w:p>
        </w:tc>
      </w:tr>
      <w:tr w:rsidR="00493099" w:rsidRPr="009B51A3" w14:paraId="49F6F28B" w14:textId="77777777" w:rsidTr="00493099">
        <w:trPr>
          <w:trHeight w:val="20"/>
        </w:trPr>
        <w:tc>
          <w:tcPr>
            <w:tcW w:w="3595" w:type="dxa"/>
            <w:hideMark/>
          </w:tcPr>
          <w:p w14:paraId="47AFE993" w14:textId="3F4D742F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Using deductive reasoning to make conclusions or approximate values when the terms “estimate” or “justify” are in the prompt</w:t>
            </w:r>
          </w:p>
        </w:tc>
        <w:tc>
          <w:tcPr>
            <w:tcW w:w="2880" w:type="dxa"/>
            <w:hideMark/>
          </w:tcPr>
          <w:p w14:paraId="42A08F28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Using long, time-intensive math reasoning when “calculate” is not indicated in the prompt</w:t>
            </w:r>
          </w:p>
        </w:tc>
        <w:tc>
          <w:tcPr>
            <w:tcW w:w="4315" w:type="dxa"/>
            <w:hideMark/>
          </w:tcPr>
          <w:p w14:paraId="24A0DACF" w14:textId="77777777" w:rsidR="009B51A3" w:rsidRPr="00493099" w:rsidRDefault="009B51A3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 xml:space="preserve">While correct calculations will earn credit, the loss in this type of answer is the amount of time spent on the </w:t>
            </w:r>
            <w:proofErr w:type="spellStart"/>
            <w:r w:rsidRPr="00493099">
              <w:rPr>
                <w:sz w:val="18"/>
                <w:szCs w:val="18"/>
              </w:rPr>
              <w:t>calc</w:t>
            </w:r>
            <w:r w:rsidR="00493099">
              <w:rPr>
                <w:sz w:val="18"/>
                <w:szCs w:val="18"/>
              </w:rPr>
              <w:t>.</w:t>
            </w:r>
            <w:r w:rsidRPr="00493099">
              <w:rPr>
                <w:sz w:val="18"/>
                <w:szCs w:val="18"/>
              </w:rPr>
              <w:t>s</w:t>
            </w:r>
            <w:proofErr w:type="spellEnd"/>
            <w:r w:rsidRPr="00493099">
              <w:rPr>
                <w:sz w:val="18"/>
                <w:szCs w:val="18"/>
              </w:rPr>
              <w:t xml:space="preserve"> when an assessment without lengthy calculations can be done instead (ex: 2018 #2e-f, 2019 #3g)</w:t>
            </w:r>
          </w:p>
        </w:tc>
      </w:tr>
      <w:tr w:rsidR="00493099" w:rsidRPr="009B51A3" w14:paraId="776DD6AD" w14:textId="77777777" w:rsidTr="00493099">
        <w:trPr>
          <w:trHeight w:val="20"/>
        </w:trPr>
        <w:tc>
          <w:tcPr>
            <w:tcW w:w="3595" w:type="dxa"/>
            <w:hideMark/>
          </w:tcPr>
          <w:p w14:paraId="21C392F1" w14:textId="5A6DF3F1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Answers that pay attention to the relative scale on graphs</w:t>
            </w:r>
          </w:p>
        </w:tc>
        <w:tc>
          <w:tcPr>
            <w:tcW w:w="2880" w:type="dxa"/>
            <w:hideMark/>
          </w:tcPr>
          <w:p w14:paraId="66E8F639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Answers that make assumptions on the scale without examining data</w:t>
            </w:r>
          </w:p>
        </w:tc>
        <w:tc>
          <w:tcPr>
            <w:tcW w:w="4315" w:type="dxa"/>
            <w:hideMark/>
          </w:tcPr>
          <w:p w14:paraId="123ADE46" w14:textId="77777777" w:rsidR="009B51A3" w:rsidRPr="00493099" w:rsidRDefault="009B51A3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Don’t assume that marked lines are increments of 1, 10, etc. – use the data to determine scale (ex. 2019 #5a)</w:t>
            </w:r>
          </w:p>
        </w:tc>
      </w:tr>
    </w:tbl>
    <w:p w14:paraId="4BD1B457" w14:textId="25CAE7F3" w:rsidR="00067B11" w:rsidRPr="00067B11" w:rsidRDefault="00067B11" w:rsidP="00067B11">
      <w:pPr>
        <w:spacing w:after="0" w:line="240" w:lineRule="auto"/>
        <w:rPr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2880"/>
        <w:gridCol w:w="4315"/>
      </w:tblGrid>
      <w:tr w:rsidR="009B51A3" w:rsidRPr="009B51A3" w14:paraId="728D9D64" w14:textId="77777777" w:rsidTr="009B51A3">
        <w:trPr>
          <w:trHeight w:val="20"/>
        </w:trPr>
        <w:tc>
          <w:tcPr>
            <w:tcW w:w="10790" w:type="dxa"/>
            <w:gridSpan w:val="3"/>
          </w:tcPr>
          <w:p w14:paraId="4700536F" w14:textId="77777777" w:rsidR="009B51A3" w:rsidRPr="009B51A3" w:rsidRDefault="009B51A3" w:rsidP="009B51A3">
            <w:pPr>
              <w:rPr>
                <w:b/>
              </w:rPr>
            </w:pPr>
            <w:r>
              <w:rPr>
                <w:b/>
              </w:rPr>
              <w:t>Unit 1: Atomic Structure and Properties</w:t>
            </w:r>
          </w:p>
        </w:tc>
      </w:tr>
      <w:tr w:rsidR="00493099" w:rsidRPr="009B51A3" w14:paraId="7CC20C76" w14:textId="77777777" w:rsidTr="00493099">
        <w:trPr>
          <w:trHeight w:val="20"/>
        </w:trPr>
        <w:tc>
          <w:tcPr>
            <w:tcW w:w="3595" w:type="dxa"/>
            <w:shd w:val="clear" w:color="auto" w:fill="BFBFBF" w:themeFill="background1" w:themeFillShade="BF"/>
          </w:tcPr>
          <w:p w14:paraId="3DDBFDE3" w14:textId="77777777" w:rsidR="009B51A3" w:rsidRPr="009B51A3" w:rsidRDefault="009B51A3" w:rsidP="009B51A3">
            <w:pPr>
              <w:jc w:val="center"/>
              <w:rPr>
                <w:b/>
              </w:rPr>
            </w:pPr>
            <w:r w:rsidRPr="009B51A3">
              <w:rPr>
                <w:b/>
              </w:rPr>
              <w:t>Write THIS...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14:paraId="3BA7D158" w14:textId="77777777" w:rsidR="009B51A3" w:rsidRPr="009B51A3" w:rsidRDefault="009B51A3" w:rsidP="009B51A3">
            <w:pPr>
              <w:jc w:val="center"/>
              <w:rPr>
                <w:b/>
              </w:rPr>
            </w:pPr>
            <w:r w:rsidRPr="009B51A3">
              <w:rPr>
                <w:b/>
              </w:rPr>
              <w:t>NOT That!</w:t>
            </w:r>
          </w:p>
        </w:tc>
        <w:tc>
          <w:tcPr>
            <w:tcW w:w="4315" w:type="dxa"/>
            <w:shd w:val="clear" w:color="auto" w:fill="BFBFBF" w:themeFill="background1" w:themeFillShade="BF"/>
          </w:tcPr>
          <w:p w14:paraId="3016FBAE" w14:textId="77777777" w:rsidR="009B51A3" w:rsidRPr="009B51A3" w:rsidRDefault="009B51A3" w:rsidP="009B51A3">
            <w:pPr>
              <w:jc w:val="center"/>
              <w:rPr>
                <w:b/>
              </w:rPr>
            </w:pPr>
            <w:r w:rsidRPr="009B51A3">
              <w:rPr>
                <w:b/>
              </w:rPr>
              <w:t>Rational</w:t>
            </w:r>
          </w:p>
        </w:tc>
      </w:tr>
      <w:tr w:rsidR="009B51A3" w:rsidRPr="009B51A3" w14:paraId="4E144757" w14:textId="77777777" w:rsidTr="00493099">
        <w:trPr>
          <w:trHeight w:val="20"/>
        </w:trPr>
        <w:tc>
          <w:tcPr>
            <w:tcW w:w="3595" w:type="dxa"/>
            <w:hideMark/>
          </w:tcPr>
          <w:p w14:paraId="3B650B4B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“period”</w:t>
            </w:r>
          </w:p>
        </w:tc>
        <w:tc>
          <w:tcPr>
            <w:tcW w:w="2880" w:type="dxa"/>
            <w:hideMark/>
          </w:tcPr>
          <w:p w14:paraId="2E6F22F9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“shell” when referring to elements and their location on the Periodic Table</w:t>
            </w:r>
          </w:p>
        </w:tc>
        <w:tc>
          <w:tcPr>
            <w:tcW w:w="4315" w:type="dxa"/>
            <w:hideMark/>
          </w:tcPr>
          <w:p w14:paraId="789D856B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Elements are in a period, electrons are in a shell</w:t>
            </w:r>
          </w:p>
        </w:tc>
      </w:tr>
      <w:tr w:rsidR="009B51A3" w:rsidRPr="009B51A3" w14:paraId="2D497B2A" w14:textId="77777777" w:rsidTr="00493099">
        <w:trPr>
          <w:trHeight w:val="20"/>
        </w:trPr>
        <w:tc>
          <w:tcPr>
            <w:tcW w:w="3595" w:type="dxa"/>
            <w:hideMark/>
          </w:tcPr>
          <w:p w14:paraId="7B01BCFA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Ion electron configurations that show  electrons were removed from valence shell orbitals</w:t>
            </w:r>
          </w:p>
        </w:tc>
        <w:tc>
          <w:tcPr>
            <w:tcW w:w="2880" w:type="dxa"/>
            <w:hideMark/>
          </w:tcPr>
          <w:p w14:paraId="0CBBC400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 xml:space="preserve">Ion electron configurations that show  electrons were removed from inner orbitals </w:t>
            </w:r>
          </w:p>
        </w:tc>
        <w:tc>
          <w:tcPr>
            <w:tcW w:w="4315" w:type="dxa"/>
            <w:hideMark/>
          </w:tcPr>
          <w:p w14:paraId="1A5AED2C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Ions form by electrons being lost from the outermost shell; this may or may not be the electrons that were filled last in the electron configuration (ref. 2018 #3a)</w:t>
            </w:r>
          </w:p>
        </w:tc>
      </w:tr>
      <w:tr w:rsidR="009B51A3" w:rsidRPr="009B51A3" w14:paraId="52C9B5D7" w14:textId="77777777" w:rsidTr="00493099">
        <w:trPr>
          <w:trHeight w:val="20"/>
        </w:trPr>
        <w:tc>
          <w:tcPr>
            <w:tcW w:w="3595" w:type="dxa"/>
            <w:hideMark/>
          </w:tcPr>
          <w:p w14:paraId="7706CD5A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Reference reasons for periodic trends (i.e. effective nuclear charge, Coulomb’s law, polarizability, etc.)</w:t>
            </w:r>
          </w:p>
        </w:tc>
        <w:tc>
          <w:tcPr>
            <w:tcW w:w="2880" w:type="dxa"/>
            <w:hideMark/>
          </w:tcPr>
          <w:p w14:paraId="5B00E064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 xml:space="preserve">Stating the trend as the reason (“because it is to the left”, “because it is further down the periodic table”, etc.) </w:t>
            </w:r>
          </w:p>
        </w:tc>
        <w:tc>
          <w:tcPr>
            <w:tcW w:w="4315" w:type="dxa"/>
            <w:hideMark/>
          </w:tcPr>
          <w:p w14:paraId="4BAD4F58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State the actual reason not the memory aid</w:t>
            </w:r>
          </w:p>
        </w:tc>
      </w:tr>
      <w:tr w:rsidR="009B51A3" w:rsidRPr="009B51A3" w14:paraId="62F07F60" w14:textId="77777777" w:rsidTr="00493099">
        <w:trPr>
          <w:trHeight w:val="20"/>
        </w:trPr>
        <w:tc>
          <w:tcPr>
            <w:tcW w:w="3595" w:type="dxa"/>
            <w:hideMark/>
          </w:tcPr>
          <w:p w14:paraId="1F51CEE7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“Effective nuclear charge increases”</w:t>
            </w:r>
          </w:p>
        </w:tc>
        <w:tc>
          <w:tcPr>
            <w:tcW w:w="2880" w:type="dxa"/>
            <w:hideMark/>
          </w:tcPr>
          <w:p w14:paraId="207B2692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“It wants to have a full octet”; “it’s close to having a full octet”</w:t>
            </w:r>
          </w:p>
        </w:tc>
        <w:tc>
          <w:tcPr>
            <w:tcW w:w="4315" w:type="dxa"/>
            <w:hideMark/>
          </w:tcPr>
          <w:p w14:paraId="2F8380CA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State the actual reason not the memory aid</w:t>
            </w:r>
          </w:p>
        </w:tc>
      </w:tr>
      <w:tr w:rsidR="009B51A3" w:rsidRPr="009B51A3" w14:paraId="1170AF7D" w14:textId="77777777" w:rsidTr="00493099">
        <w:trPr>
          <w:trHeight w:val="20"/>
        </w:trPr>
        <w:tc>
          <w:tcPr>
            <w:tcW w:w="3595" w:type="dxa"/>
            <w:hideMark/>
          </w:tcPr>
          <w:p w14:paraId="3F537658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“It has a more polarizable cloud of electrons”</w:t>
            </w:r>
          </w:p>
        </w:tc>
        <w:tc>
          <w:tcPr>
            <w:tcW w:w="2880" w:type="dxa"/>
            <w:hideMark/>
          </w:tcPr>
          <w:p w14:paraId="7FEFDA18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“It has more electrons”, “it has more mass”, “it has more surface area”, “it is bigger”, “it has more protons”</w:t>
            </w:r>
          </w:p>
        </w:tc>
        <w:tc>
          <w:tcPr>
            <w:tcW w:w="4315" w:type="dxa"/>
            <w:hideMark/>
          </w:tcPr>
          <w:p w14:paraId="2F8EB98A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State the actual reason not the memory aid</w:t>
            </w:r>
          </w:p>
        </w:tc>
      </w:tr>
      <w:tr w:rsidR="009B51A3" w:rsidRPr="009B51A3" w14:paraId="0FD8B85E" w14:textId="77777777" w:rsidTr="00493099">
        <w:trPr>
          <w:trHeight w:val="20"/>
        </w:trPr>
        <w:tc>
          <w:tcPr>
            <w:tcW w:w="3595" w:type="dxa"/>
            <w:hideMark/>
          </w:tcPr>
          <w:p w14:paraId="2B090569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“Electrons in higher energy levels are farther from the nucleus, resulting in a larger atom/ion.”</w:t>
            </w:r>
          </w:p>
        </w:tc>
        <w:tc>
          <w:tcPr>
            <w:tcW w:w="2880" w:type="dxa"/>
            <w:hideMark/>
          </w:tcPr>
          <w:p w14:paraId="14214D10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“More electrons/more energy levels makes the atom/ion bigger.”</w:t>
            </w:r>
          </w:p>
        </w:tc>
        <w:tc>
          <w:tcPr>
            <w:tcW w:w="4315" w:type="dxa"/>
            <w:hideMark/>
          </w:tcPr>
          <w:p w14:paraId="5C960FF7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Explanation of reason, not just statement of fact, required for point</w:t>
            </w:r>
          </w:p>
          <w:p w14:paraId="03EF5691" w14:textId="77777777"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(Ref 2016 #1)</w:t>
            </w:r>
          </w:p>
        </w:tc>
      </w:tr>
    </w:tbl>
    <w:p w14:paraId="0825B0C3" w14:textId="77777777" w:rsidR="00067B11" w:rsidRDefault="00067B11" w:rsidP="009B51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510"/>
        <w:gridCol w:w="4495"/>
      </w:tblGrid>
      <w:tr w:rsidR="00493099" w:rsidRPr="009B51A3" w14:paraId="3DA3216A" w14:textId="77777777" w:rsidTr="00493099">
        <w:trPr>
          <w:trHeight w:val="20"/>
        </w:trPr>
        <w:tc>
          <w:tcPr>
            <w:tcW w:w="10790" w:type="dxa"/>
            <w:gridSpan w:val="3"/>
          </w:tcPr>
          <w:p w14:paraId="28FAEEAD" w14:textId="77777777" w:rsidR="00493099" w:rsidRPr="009B51A3" w:rsidRDefault="00493099" w:rsidP="00493099">
            <w:pPr>
              <w:rPr>
                <w:b/>
              </w:rPr>
            </w:pPr>
            <w:r>
              <w:rPr>
                <w:b/>
              </w:rPr>
              <w:t>Unit 2: Molecular and Ionic Compound Structure</w:t>
            </w:r>
          </w:p>
        </w:tc>
      </w:tr>
      <w:tr w:rsidR="00493099" w:rsidRPr="009B51A3" w14:paraId="21517013" w14:textId="77777777" w:rsidTr="00493099">
        <w:trPr>
          <w:trHeight w:val="20"/>
        </w:trPr>
        <w:tc>
          <w:tcPr>
            <w:tcW w:w="2785" w:type="dxa"/>
            <w:shd w:val="clear" w:color="auto" w:fill="BFBFBF" w:themeFill="background1" w:themeFillShade="BF"/>
          </w:tcPr>
          <w:p w14:paraId="3645ACAF" w14:textId="77777777" w:rsidR="00493099" w:rsidRPr="009B51A3" w:rsidRDefault="00493099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Write THIS...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29FE92DD" w14:textId="77777777" w:rsidR="00493099" w:rsidRPr="009B51A3" w:rsidRDefault="00493099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NOT That!</w:t>
            </w:r>
          </w:p>
        </w:tc>
        <w:tc>
          <w:tcPr>
            <w:tcW w:w="4495" w:type="dxa"/>
            <w:shd w:val="clear" w:color="auto" w:fill="BFBFBF" w:themeFill="background1" w:themeFillShade="BF"/>
          </w:tcPr>
          <w:p w14:paraId="2654E13C" w14:textId="77777777" w:rsidR="00493099" w:rsidRPr="009B51A3" w:rsidRDefault="00493099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Rational</w:t>
            </w:r>
          </w:p>
        </w:tc>
      </w:tr>
      <w:tr w:rsidR="00493099" w:rsidRPr="00493099" w14:paraId="3201B0B4" w14:textId="77777777" w:rsidTr="00493099">
        <w:trPr>
          <w:trHeight w:val="20"/>
        </w:trPr>
        <w:tc>
          <w:tcPr>
            <w:tcW w:w="2785" w:type="dxa"/>
            <w:hideMark/>
          </w:tcPr>
          <w:p w14:paraId="4C4541FF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“ionic compound”</w:t>
            </w:r>
          </w:p>
        </w:tc>
        <w:tc>
          <w:tcPr>
            <w:tcW w:w="3510" w:type="dxa"/>
            <w:hideMark/>
          </w:tcPr>
          <w:p w14:paraId="1801BD37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bCs/>
                <w:sz w:val="18"/>
              </w:rPr>
              <w:t>“molecule” when discussing an ionic compound</w:t>
            </w:r>
          </w:p>
        </w:tc>
        <w:tc>
          <w:tcPr>
            <w:tcW w:w="4495" w:type="dxa"/>
            <w:hideMark/>
          </w:tcPr>
          <w:p w14:paraId="15C497D6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bCs/>
                <w:sz w:val="18"/>
              </w:rPr>
              <w:t>A molecule is a covalent compound</w:t>
            </w:r>
          </w:p>
        </w:tc>
      </w:tr>
      <w:tr w:rsidR="00493099" w:rsidRPr="00493099" w14:paraId="3057B999" w14:textId="77777777" w:rsidTr="00493099">
        <w:trPr>
          <w:trHeight w:val="20"/>
        </w:trPr>
        <w:tc>
          <w:tcPr>
            <w:tcW w:w="2785" w:type="dxa"/>
            <w:hideMark/>
          </w:tcPr>
          <w:p w14:paraId="05E4B991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“ions”</w:t>
            </w:r>
          </w:p>
        </w:tc>
        <w:tc>
          <w:tcPr>
            <w:tcW w:w="3510" w:type="dxa"/>
            <w:hideMark/>
          </w:tcPr>
          <w:p w14:paraId="32AFB0CA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“atoms” when discussing ionic compounds</w:t>
            </w:r>
          </w:p>
        </w:tc>
        <w:tc>
          <w:tcPr>
            <w:tcW w:w="4495" w:type="dxa"/>
            <w:hideMark/>
          </w:tcPr>
          <w:p w14:paraId="191E094E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Ionic compounds contain ions – this shows the understanding that it is the charges that form the bond</w:t>
            </w:r>
          </w:p>
        </w:tc>
      </w:tr>
      <w:tr w:rsidR="00493099" w:rsidRPr="00493099" w14:paraId="2B8D432B" w14:textId="77777777" w:rsidTr="00493099">
        <w:trPr>
          <w:trHeight w:val="20"/>
        </w:trPr>
        <w:tc>
          <w:tcPr>
            <w:tcW w:w="2785" w:type="dxa"/>
            <w:hideMark/>
          </w:tcPr>
          <w:p w14:paraId="3077E844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“atoms”</w:t>
            </w:r>
          </w:p>
        </w:tc>
        <w:tc>
          <w:tcPr>
            <w:tcW w:w="3510" w:type="dxa"/>
            <w:hideMark/>
          </w:tcPr>
          <w:p w14:paraId="03164FB3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“ions” when discussing covalent compounds</w:t>
            </w:r>
          </w:p>
        </w:tc>
        <w:tc>
          <w:tcPr>
            <w:tcW w:w="4495" w:type="dxa"/>
            <w:hideMark/>
          </w:tcPr>
          <w:p w14:paraId="09FC3516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Covalent compounds do not contain ions</w:t>
            </w:r>
          </w:p>
        </w:tc>
      </w:tr>
      <w:tr w:rsidR="00493099" w:rsidRPr="00493099" w14:paraId="2F196359" w14:textId="77777777" w:rsidTr="00493099">
        <w:trPr>
          <w:trHeight w:val="20"/>
        </w:trPr>
        <w:tc>
          <w:tcPr>
            <w:tcW w:w="2785" w:type="dxa"/>
            <w:hideMark/>
          </w:tcPr>
          <w:p w14:paraId="65569F9A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“Coulombic attraction”</w:t>
            </w:r>
          </w:p>
        </w:tc>
        <w:tc>
          <w:tcPr>
            <w:tcW w:w="3510" w:type="dxa"/>
            <w:hideMark/>
          </w:tcPr>
          <w:p w14:paraId="4735C37B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“Opposites attract”</w:t>
            </w:r>
          </w:p>
        </w:tc>
        <w:tc>
          <w:tcPr>
            <w:tcW w:w="4495" w:type="dxa"/>
            <w:hideMark/>
          </w:tcPr>
          <w:p w14:paraId="74991076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State the actual reason not the memory aid</w:t>
            </w:r>
          </w:p>
        </w:tc>
      </w:tr>
      <w:tr w:rsidR="00493099" w:rsidRPr="00493099" w14:paraId="605A5411" w14:textId="77777777" w:rsidTr="00493099">
        <w:trPr>
          <w:trHeight w:val="20"/>
        </w:trPr>
        <w:tc>
          <w:tcPr>
            <w:tcW w:w="2785" w:type="dxa"/>
            <w:hideMark/>
          </w:tcPr>
          <w:p w14:paraId="7C051722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Lewis structures that are complete with necessary lone pairs and/or resonance</w:t>
            </w:r>
          </w:p>
        </w:tc>
        <w:tc>
          <w:tcPr>
            <w:tcW w:w="3510" w:type="dxa"/>
            <w:hideMark/>
          </w:tcPr>
          <w:p w14:paraId="6A557054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Lewis structures that are missing lone pairs and/or resonance (if needed for correct structures)</w:t>
            </w:r>
          </w:p>
        </w:tc>
        <w:tc>
          <w:tcPr>
            <w:tcW w:w="4495" w:type="dxa"/>
            <w:hideMark/>
          </w:tcPr>
          <w:p w14:paraId="6AC345D1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Lewis structures are incorrect without necessary lone pairs/resonance</w:t>
            </w:r>
          </w:p>
        </w:tc>
      </w:tr>
      <w:tr w:rsidR="00493099" w:rsidRPr="00493099" w14:paraId="00586A7A" w14:textId="77777777" w:rsidTr="00493099">
        <w:trPr>
          <w:trHeight w:val="20"/>
        </w:trPr>
        <w:tc>
          <w:tcPr>
            <w:tcW w:w="2785" w:type="dxa"/>
            <w:hideMark/>
          </w:tcPr>
          <w:p w14:paraId="0457F4A9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Multiple bonds when there are not enough valence electrons to satisfy the octet rule</w:t>
            </w:r>
          </w:p>
        </w:tc>
        <w:tc>
          <w:tcPr>
            <w:tcW w:w="3510" w:type="dxa"/>
            <w:hideMark/>
          </w:tcPr>
          <w:p w14:paraId="3D519AC3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Multiple bonds when the octet rule for the structure would have been satisfied without them</w:t>
            </w:r>
          </w:p>
        </w:tc>
        <w:tc>
          <w:tcPr>
            <w:tcW w:w="4495" w:type="dxa"/>
            <w:hideMark/>
          </w:tcPr>
          <w:p w14:paraId="7EAAFA7C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Multiple bonds are only needed when there are not enough valence electrons to satisfy the octet rule</w:t>
            </w:r>
          </w:p>
        </w:tc>
      </w:tr>
      <w:tr w:rsidR="00493099" w:rsidRPr="00493099" w14:paraId="27D00E64" w14:textId="77777777" w:rsidTr="00493099">
        <w:trPr>
          <w:trHeight w:val="20"/>
        </w:trPr>
        <w:tc>
          <w:tcPr>
            <w:tcW w:w="2785" w:type="dxa"/>
            <w:hideMark/>
          </w:tcPr>
          <w:p w14:paraId="5AF96E82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Stating a VSEPR geometry/hybridization that thinks about the 3D arrangement of atoms in a molecule</w:t>
            </w:r>
          </w:p>
        </w:tc>
        <w:tc>
          <w:tcPr>
            <w:tcW w:w="3510" w:type="dxa"/>
            <w:hideMark/>
          </w:tcPr>
          <w:p w14:paraId="2E11672B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State a VSEPR geometry/hybridization that thinks about a molecule based on its 2D representation</w:t>
            </w:r>
          </w:p>
        </w:tc>
        <w:tc>
          <w:tcPr>
            <w:tcW w:w="4495" w:type="dxa"/>
            <w:hideMark/>
          </w:tcPr>
          <w:p w14:paraId="6CAF9ABC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VSEPR/hybridization are used to describe the 3D arrangement of atoms in a molecule; failing to recognize the difference between the way a Lewis structure is drawn and the way the actual molecule is arranged may lead to an incorrect analysis of structure (ref. 2018 #2d)</w:t>
            </w:r>
          </w:p>
        </w:tc>
      </w:tr>
    </w:tbl>
    <w:p w14:paraId="73C4E1F9" w14:textId="77777777" w:rsidR="00493099" w:rsidRDefault="00493099" w:rsidP="009B51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700"/>
        <w:gridCol w:w="4855"/>
      </w:tblGrid>
      <w:tr w:rsidR="00493099" w:rsidRPr="009B51A3" w14:paraId="137A78A9" w14:textId="77777777" w:rsidTr="00067B11">
        <w:trPr>
          <w:trHeight w:val="20"/>
        </w:trPr>
        <w:tc>
          <w:tcPr>
            <w:tcW w:w="10790" w:type="dxa"/>
            <w:gridSpan w:val="3"/>
          </w:tcPr>
          <w:p w14:paraId="631E10E1" w14:textId="77777777" w:rsidR="00493099" w:rsidRPr="009B51A3" w:rsidRDefault="00493099" w:rsidP="00493099">
            <w:pPr>
              <w:rPr>
                <w:b/>
              </w:rPr>
            </w:pPr>
            <w:r>
              <w:rPr>
                <w:b/>
              </w:rPr>
              <w:t>Unit 3: Intermolecular Forces and Properties</w:t>
            </w:r>
          </w:p>
        </w:tc>
      </w:tr>
      <w:tr w:rsidR="00493099" w:rsidRPr="009B51A3" w14:paraId="1A83A22E" w14:textId="77777777" w:rsidTr="00067B11">
        <w:trPr>
          <w:trHeight w:val="20"/>
        </w:trPr>
        <w:tc>
          <w:tcPr>
            <w:tcW w:w="3235" w:type="dxa"/>
            <w:shd w:val="clear" w:color="auto" w:fill="BFBFBF" w:themeFill="background1" w:themeFillShade="BF"/>
          </w:tcPr>
          <w:p w14:paraId="5C73949B" w14:textId="77777777" w:rsidR="00493099" w:rsidRPr="009B51A3" w:rsidRDefault="00493099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Write THIS...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14:paraId="5918D466" w14:textId="77777777" w:rsidR="00493099" w:rsidRPr="009B51A3" w:rsidRDefault="00493099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NOT That!</w:t>
            </w:r>
          </w:p>
        </w:tc>
        <w:tc>
          <w:tcPr>
            <w:tcW w:w="4855" w:type="dxa"/>
            <w:shd w:val="clear" w:color="auto" w:fill="BFBFBF" w:themeFill="background1" w:themeFillShade="BF"/>
          </w:tcPr>
          <w:p w14:paraId="289941F2" w14:textId="77777777" w:rsidR="00493099" w:rsidRPr="009B51A3" w:rsidRDefault="00493099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Rational</w:t>
            </w:r>
          </w:p>
        </w:tc>
      </w:tr>
      <w:tr w:rsidR="00493099" w:rsidRPr="00493099" w14:paraId="188F7C3D" w14:textId="77777777" w:rsidTr="00067B11">
        <w:trPr>
          <w:trHeight w:val="20"/>
        </w:trPr>
        <w:tc>
          <w:tcPr>
            <w:tcW w:w="3235" w:type="dxa"/>
            <w:hideMark/>
          </w:tcPr>
          <w:p w14:paraId="46F17A34" w14:textId="77777777"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 xml:space="preserve">Hydrogen bonding, dipole-dipole, London dispersion forces, etc. when asked to identify intermolecular forces </w:t>
            </w:r>
          </w:p>
        </w:tc>
        <w:tc>
          <w:tcPr>
            <w:tcW w:w="2700" w:type="dxa"/>
            <w:hideMark/>
          </w:tcPr>
          <w:p w14:paraId="38E9FF46" w14:textId="77777777"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Ionic bonds, covalent bonds, metallic bonds when asked to identify intermolecular forces</w:t>
            </w:r>
          </w:p>
        </w:tc>
        <w:tc>
          <w:tcPr>
            <w:tcW w:w="4855" w:type="dxa"/>
            <w:hideMark/>
          </w:tcPr>
          <w:p w14:paraId="03F2E6DE" w14:textId="77777777"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Intermolecular forces are attractions between molecules; bonds are intramolecular forces (within molecules)</w:t>
            </w:r>
          </w:p>
        </w:tc>
      </w:tr>
      <w:tr w:rsidR="00493099" w:rsidRPr="00493099" w14:paraId="5588A21D" w14:textId="77777777" w:rsidTr="00067B11">
        <w:trPr>
          <w:trHeight w:val="20"/>
        </w:trPr>
        <w:tc>
          <w:tcPr>
            <w:tcW w:w="3235" w:type="dxa"/>
            <w:hideMark/>
          </w:tcPr>
          <w:p w14:paraId="539DDC5E" w14:textId="77777777"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Discussion of ALL intermolecular forces when prompted to do so</w:t>
            </w:r>
          </w:p>
        </w:tc>
        <w:tc>
          <w:tcPr>
            <w:tcW w:w="2700" w:type="dxa"/>
            <w:hideMark/>
          </w:tcPr>
          <w:p w14:paraId="6A1BE26E" w14:textId="77777777"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Neglecting IMFs that may be weaker</w:t>
            </w:r>
          </w:p>
        </w:tc>
        <w:tc>
          <w:tcPr>
            <w:tcW w:w="4855" w:type="dxa"/>
            <w:hideMark/>
          </w:tcPr>
          <w:p w14:paraId="4ACA7F76" w14:textId="77777777"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If asked to state all IMFs, all points will not be earned if some of the IMFs are not stated (ref. 2018 #4a and 2019 #2c)</w:t>
            </w:r>
          </w:p>
        </w:tc>
      </w:tr>
      <w:tr w:rsidR="00493099" w:rsidRPr="00493099" w14:paraId="6AB5811B" w14:textId="77777777" w:rsidTr="00067B11">
        <w:trPr>
          <w:trHeight w:val="20"/>
        </w:trPr>
        <w:tc>
          <w:tcPr>
            <w:tcW w:w="3235" w:type="dxa"/>
            <w:hideMark/>
          </w:tcPr>
          <w:p w14:paraId="75C020FA" w14:textId="77777777"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“Has hydrogen bonds between the molecules”</w:t>
            </w:r>
          </w:p>
        </w:tc>
        <w:tc>
          <w:tcPr>
            <w:tcW w:w="2700" w:type="dxa"/>
            <w:hideMark/>
          </w:tcPr>
          <w:p w14:paraId="66BE0CFB" w14:textId="77777777"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“Has hydrogen bonds”</w:t>
            </w:r>
          </w:p>
        </w:tc>
        <w:tc>
          <w:tcPr>
            <w:tcW w:w="4855" w:type="dxa"/>
            <w:hideMark/>
          </w:tcPr>
          <w:p w14:paraId="2404E442" w14:textId="77777777"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Is unambiguous - Shows that you understand hydrogen bonds are not actually bonds</w:t>
            </w:r>
          </w:p>
        </w:tc>
      </w:tr>
      <w:tr w:rsidR="00493099" w:rsidRPr="00493099" w14:paraId="40BFD61E" w14:textId="77777777" w:rsidTr="00067B11">
        <w:trPr>
          <w:trHeight w:val="20"/>
        </w:trPr>
        <w:tc>
          <w:tcPr>
            <w:tcW w:w="3235" w:type="dxa"/>
            <w:hideMark/>
          </w:tcPr>
          <w:p w14:paraId="5026CD70" w14:textId="77777777"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Electrical conductivity is a property of an ionic solution due to the charges on the dissociated ions</w:t>
            </w:r>
          </w:p>
        </w:tc>
        <w:tc>
          <w:tcPr>
            <w:tcW w:w="2700" w:type="dxa"/>
            <w:hideMark/>
          </w:tcPr>
          <w:p w14:paraId="7BA4195A" w14:textId="77777777"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Electrical conductivity is due to the ionic precipitate, electrical conductivity is due to the water</w:t>
            </w:r>
          </w:p>
        </w:tc>
        <w:tc>
          <w:tcPr>
            <w:tcW w:w="4855" w:type="dxa"/>
            <w:hideMark/>
          </w:tcPr>
          <w:p w14:paraId="616D7F77" w14:textId="77777777"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Conductivity is due to the ability of a ion to carry charge; precipitate would not influence in solid form; pure water is non-conductive, (ref. 2019 #3e)</w:t>
            </w:r>
          </w:p>
        </w:tc>
      </w:tr>
      <w:tr w:rsidR="00493099" w:rsidRPr="00493099" w14:paraId="0BA17B53" w14:textId="77777777" w:rsidTr="00067B11">
        <w:trPr>
          <w:trHeight w:val="20"/>
        </w:trPr>
        <w:tc>
          <w:tcPr>
            <w:tcW w:w="3235" w:type="dxa"/>
            <w:hideMark/>
          </w:tcPr>
          <w:p w14:paraId="1A86073B" w14:textId="77777777"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“Overcome intermolecular forces”</w:t>
            </w:r>
          </w:p>
        </w:tc>
        <w:tc>
          <w:tcPr>
            <w:tcW w:w="2700" w:type="dxa"/>
            <w:hideMark/>
          </w:tcPr>
          <w:p w14:paraId="22D01D1B" w14:textId="77777777"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“break up” a solid/liquid, break covalent bonds</w:t>
            </w:r>
          </w:p>
        </w:tc>
        <w:tc>
          <w:tcPr>
            <w:tcW w:w="4855" w:type="dxa"/>
            <w:hideMark/>
          </w:tcPr>
          <w:p w14:paraId="24F950E7" w14:textId="77777777"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IMFs should be used to justify phase changes</w:t>
            </w:r>
          </w:p>
        </w:tc>
      </w:tr>
      <w:tr w:rsidR="00493099" w:rsidRPr="00493099" w14:paraId="59C78AD3" w14:textId="77777777" w:rsidTr="00067B11">
        <w:trPr>
          <w:trHeight w:val="20"/>
        </w:trPr>
        <w:tc>
          <w:tcPr>
            <w:tcW w:w="3235" w:type="dxa"/>
            <w:hideMark/>
          </w:tcPr>
          <w:p w14:paraId="4D04C49E" w14:textId="77777777"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lastRenderedPageBreak/>
              <w:t>“Stronger intermolecular forces increase boiling point”</w:t>
            </w:r>
          </w:p>
        </w:tc>
        <w:tc>
          <w:tcPr>
            <w:tcW w:w="2700" w:type="dxa"/>
            <w:hideMark/>
          </w:tcPr>
          <w:p w14:paraId="4AF7B458" w14:textId="77777777"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“Stronger covalent bonds increase boiling point”</w:t>
            </w:r>
          </w:p>
        </w:tc>
        <w:tc>
          <w:tcPr>
            <w:tcW w:w="4855" w:type="dxa"/>
            <w:hideMark/>
          </w:tcPr>
          <w:p w14:paraId="1BCE70BC" w14:textId="77777777"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IMF’s, not bonds, are what must be overcome during phase changes</w:t>
            </w:r>
          </w:p>
        </w:tc>
      </w:tr>
      <w:tr w:rsidR="00493099" w:rsidRPr="00493099" w14:paraId="6D61D2FD" w14:textId="77777777" w:rsidTr="00067B11">
        <w:trPr>
          <w:trHeight w:val="20"/>
        </w:trPr>
        <w:tc>
          <w:tcPr>
            <w:tcW w:w="3235" w:type="dxa"/>
            <w:hideMark/>
          </w:tcPr>
          <w:p w14:paraId="5725B923" w14:textId="77777777"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Ion interactions when discussing ionic compounds</w:t>
            </w:r>
          </w:p>
        </w:tc>
        <w:tc>
          <w:tcPr>
            <w:tcW w:w="2700" w:type="dxa"/>
            <w:hideMark/>
          </w:tcPr>
          <w:p w14:paraId="5D3C508D" w14:textId="77777777"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LDF’s when discussing ionic compounds</w:t>
            </w:r>
          </w:p>
        </w:tc>
        <w:tc>
          <w:tcPr>
            <w:tcW w:w="4855" w:type="dxa"/>
            <w:hideMark/>
          </w:tcPr>
          <w:p w14:paraId="6DEB0D15" w14:textId="77777777"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Ionic compounds have ions with whole charges, which dominate interactions</w:t>
            </w:r>
          </w:p>
        </w:tc>
      </w:tr>
      <w:tr w:rsidR="00493099" w:rsidRPr="00493099" w14:paraId="6550BB62" w14:textId="77777777" w:rsidTr="00067B11">
        <w:trPr>
          <w:trHeight w:val="20"/>
        </w:trPr>
        <w:tc>
          <w:tcPr>
            <w:tcW w:w="3235" w:type="dxa"/>
            <w:hideMark/>
          </w:tcPr>
          <w:p w14:paraId="5CE8378F" w14:textId="77777777"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“Coulombic attraction”</w:t>
            </w:r>
          </w:p>
        </w:tc>
        <w:tc>
          <w:tcPr>
            <w:tcW w:w="2700" w:type="dxa"/>
            <w:hideMark/>
          </w:tcPr>
          <w:p w14:paraId="53A84855" w14:textId="77777777"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“Opposites attract”</w:t>
            </w:r>
          </w:p>
        </w:tc>
        <w:tc>
          <w:tcPr>
            <w:tcW w:w="4855" w:type="dxa"/>
            <w:hideMark/>
          </w:tcPr>
          <w:p w14:paraId="79EBC77B" w14:textId="77777777"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State the actual reason not the memory aid</w:t>
            </w:r>
          </w:p>
        </w:tc>
      </w:tr>
      <w:tr w:rsidR="00493099" w:rsidRPr="00493099" w14:paraId="4FC3899B" w14:textId="77777777" w:rsidTr="00067B11">
        <w:trPr>
          <w:trHeight w:val="20"/>
        </w:trPr>
        <w:tc>
          <w:tcPr>
            <w:tcW w:w="3235" w:type="dxa"/>
            <w:hideMark/>
          </w:tcPr>
          <w:p w14:paraId="653188A0" w14:textId="77777777"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Describe the process of overcoming intermolecular forces/polarity</w:t>
            </w:r>
          </w:p>
        </w:tc>
        <w:tc>
          <w:tcPr>
            <w:tcW w:w="2700" w:type="dxa"/>
            <w:hideMark/>
          </w:tcPr>
          <w:p w14:paraId="38533CCA" w14:textId="77777777"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“Like dissolves like”</w:t>
            </w:r>
          </w:p>
        </w:tc>
        <w:tc>
          <w:tcPr>
            <w:tcW w:w="4855" w:type="dxa"/>
            <w:hideMark/>
          </w:tcPr>
          <w:p w14:paraId="6C4FE2FA" w14:textId="77777777"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State the actual reason not the memory aid</w:t>
            </w:r>
          </w:p>
        </w:tc>
      </w:tr>
      <w:tr w:rsidR="00493099" w:rsidRPr="00493099" w14:paraId="11E3D512" w14:textId="77777777" w:rsidTr="00067B11">
        <w:trPr>
          <w:trHeight w:val="20"/>
        </w:trPr>
        <w:tc>
          <w:tcPr>
            <w:tcW w:w="3235" w:type="dxa"/>
            <w:hideMark/>
          </w:tcPr>
          <w:p w14:paraId="1B82D1A8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 xml:space="preserve">Hydrogen bonding, dipole-dipole, London dispersion forces, etc. when asked to identify intermolecular forces </w:t>
            </w:r>
          </w:p>
        </w:tc>
        <w:tc>
          <w:tcPr>
            <w:tcW w:w="2700" w:type="dxa"/>
            <w:hideMark/>
          </w:tcPr>
          <w:p w14:paraId="04B1E56A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Ionic bonds, covalent bonds, metallic bonds when asked to identify intermolecular forces</w:t>
            </w:r>
          </w:p>
        </w:tc>
        <w:tc>
          <w:tcPr>
            <w:tcW w:w="4855" w:type="dxa"/>
            <w:hideMark/>
          </w:tcPr>
          <w:p w14:paraId="37BABCA5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Intermolecular forces are attractions between molecules; bonds are intramolecular forces (within molecules)</w:t>
            </w:r>
          </w:p>
        </w:tc>
      </w:tr>
      <w:tr w:rsidR="00493099" w:rsidRPr="00493099" w14:paraId="5394EAF4" w14:textId="77777777" w:rsidTr="00067B11">
        <w:trPr>
          <w:trHeight w:val="20"/>
        </w:trPr>
        <w:tc>
          <w:tcPr>
            <w:tcW w:w="3235" w:type="dxa"/>
            <w:hideMark/>
          </w:tcPr>
          <w:p w14:paraId="6C71BFD2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Discussion of ALL intermolecular forces when prompted to do so</w:t>
            </w:r>
          </w:p>
        </w:tc>
        <w:tc>
          <w:tcPr>
            <w:tcW w:w="2700" w:type="dxa"/>
            <w:hideMark/>
          </w:tcPr>
          <w:p w14:paraId="62D8C28A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Neglecting IMFs that may be weaker</w:t>
            </w:r>
          </w:p>
        </w:tc>
        <w:tc>
          <w:tcPr>
            <w:tcW w:w="4855" w:type="dxa"/>
            <w:hideMark/>
          </w:tcPr>
          <w:p w14:paraId="30AC0DA9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If asked to state all IMFs, all points will not be earned if some of the IMFs are not stated (ref. 2018 #4a and 2019 #2c)</w:t>
            </w:r>
          </w:p>
        </w:tc>
      </w:tr>
      <w:tr w:rsidR="00493099" w:rsidRPr="00493099" w14:paraId="6C9B6A00" w14:textId="77777777" w:rsidTr="00067B11">
        <w:trPr>
          <w:trHeight w:val="20"/>
        </w:trPr>
        <w:tc>
          <w:tcPr>
            <w:tcW w:w="3235" w:type="dxa"/>
            <w:hideMark/>
          </w:tcPr>
          <w:p w14:paraId="13067553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“Has hydrogen bonds between the molecules”</w:t>
            </w:r>
          </w:p>
        </w:tc>
        <w:tc>
          <w:tcPr>
            <w:tcW w:w="2700" w:type="dxa"/>
            <w:hideMark/>
          </w:tcPr>
          <w:p w14:paraId="79CFAD17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“Has hydrogen bonds”</w:t>
            </w:r>
          </w:p>
        </w:tc>
        <w:tc>
          <w:tcPr>
            <w:tcW w:w="4855" w:type="dxa"/>
            <w:hideMark/>
          </w:tcPr>
          <w:p w14:paraId="2F30578C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Is unambiguous - Shows that you understand hydrogen bonds are not actually bonds</w:t>
            </w:r>
          </w:p>
        </w:tc>
      </w:tr>
      <w:tr w:rsidR="00493099" w:rsidRPr="00493099" w14:paraId="51D868B9" w14:textId="77777777" w:rsidTr="00067B11">
        <w:trPr>
          <w:trHeight w:val="20"/>
        </w:trPr>
        <w:tc>
          <w:tcPr>
            <w:tcW w:w="3235" w:type="dxa"/>
            <w:hideMark/>
          </w:tcPr>
          <w:p w14:paraId="213E8188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Electrical conductivity is a property of an ionic solution due to the charges on the dissociated ions</w:t>
            </w:r>
          </w:p>
        </w:tc>
        <w:tc>
          <w:tcPr>
            <w:tcW w:w="2700" w:type="dxa"/>
            <w:hideMark/>
          </w:tcPr>
          <w:p w14:paraId="75FBF7E0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Electrical conductivity is due to the ionic precipitate, electrical conductivity is due to the water</w:t>
            </w:r>
          </w:p>
        </w:tc>
        <w:tc>
          <w:tcPr>
            <w:tcW w:w="4855" w:type="dxa"/>
            <w:hideMark/>
          </w:tcPr>
          <w:p w14:paraId="5E61326D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Conductivity is due to the ability of a ion to carry charge; precipitate would not influence in solid form; pure water is non-conductive, (ref. 2019 #3e)</w:t>
            </w:r>
          </w:p>
        </w:tc>
      </w:tr>
      <w:tr w:rsidR="00493099" w:rsidRPr="00493099" w14:paraId="2C1FE248" w14:textId="77777777" w:rsidTr="00067B11">
        <w:trPr>
          <w:trHeight w:val="20"/>
        </w:trPr>
        <w:tc>
          <w:tcPr>
            <w:tcW w:w="3235" w:type="dxa"/>
            <w:hideMark/>
          </w:tcPr>
          <w:p w14:paraId="763654F9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“Overcome intermolecular forces”</w:t>
            </w:r>
          </w:p>
        </w:tc>
        <w:tc>
          <w:tcPr>
            <w:tcW w:w="2700" w:type="dxa"/>
            <w:hideMark/>
          </w:tcPr>
          <w:p w14:paraId="1D66D782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“break up” a solid/liquid, break covalent bonds</w:t>
            </w:r>
          </w:p>
        </w:tc>
        <w:tc>
          <w:tcPr>
            <w:tcW w:w="4855" w:type="dxa"/>
            <w:hideMark/>
          </w:tcPr>
          <w:p w14:paraId="0D66643B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IMFs should be used to justify phase changes</w:t>
            </w:r>
          </w:p>
        </w:tc>
      </w:tr>
      <w:tr w:rsidR="00493099" w:rsidRPr="00493099" w14:paraId="4CEEE586" w14:textId="77777777" w:rsidTr="00067B11">
        <w:trPr>
          <w:trHeight w:val="20"/>
        </w:trPr>
        <w:tc>
          <w:tcPr>
            <w:tcW w:w="3235" w:type="dxa"/>
            <w:hideMark/>
          </w:tcPr>
          <w:p w14:paraId="5E38BC7F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“Stronger intermolecular forces increase boiling point”</w:t>
            </w:r>
          </w:p>
        </w:tc>
        <w:tc>
          <w:tcPr>
            <w:tcW w:w="2700" w:type="dxa"/>
            <w:hideMark/>
          </w:tcPr>
          <w:p w14:paraId="41A433E5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“Stronger covalent bonds increase boiling point”</w:t>
            </w:r>
          </w:p>
        </w:tc>
        <w:tc>
          <w:tcPr>
            <w:tcW w:w="4855" w:type="dxa"/>
            <w:hideMark/>
          </w:tcPr>
          <w:p w14:paraId="5367B746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IMF’s, not bonds, are what must be overcome during phase changes</w:t>
            </w:r>
          </w:p>
        </w:tc>
      </w:tr>
      <w:tr w:rsidR="00493099" w:rsidRPr="00493099" w14:paraId="107FF1F1" w14:textId="77777777" w:rsidTr="00067B11">
        <w:trPr>
          <w:trHeight w:val="20"/>
        </w:trPr>
        <w:tc>
          <w:tcPr>
            <w:tcW w:w="3235" w:type="dxa"/>
            <w:hideMark/>
          </w:tcPr>
          <w:p w14:paraId="03E83181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Ion interactions when discussing ionic compounds</w:t>
            </w:r>
          </w:p>
        </w:tc>
        <w:tc>
          <w:tcPr>
            <w:tcW w:w="2700" w:type="dxa"/>
            <w:hideMark/>
          </w:tcPr>
          <w:p w14:paraId="7DBFE3F2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LDF’s when discussing ionic compounds</w:t>
            </w:r>
          </w:p>
        </w:tc>
        <w:tc>
          <w:tcPr>
            <w:tcW w:w="4855" w:type="dxa"/>
            <w:hideMark/>
          </w:tcPr>
          <w:p w14:paraId="4598C30F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Ionic compounds have ions with whole charges, which dominate interactions</w:t>
            </w:r>
          </w:p>
        </w:tc>
      </w:tr>
      <w:tr w:rsidR="00493099" w:rsidRPr="00493099" w14:paraId="4287C361" w14:textId="77777777" w:rsidTr="00067B11">
        <w:trPr>
          <w:trHeight w:val="20"/>
        </w:trPr>
        <w:tc>
          <w:tcPr>
            <w:tcW w:w="3235" w:type="dxa"/>
            <w:hideMark/>
          </w:tcPr>
          <w:p w14:paraId="177155B6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“Coulombic attraction”</w:t>
            </w:r>
          </w:p>
        </w:tc>
        <w:tc>
          <w:tcPr>
            <w:tcW w:w="2700" w:type="dxa"/>
            <w:hideMark/>
          </w:tcPr>
          <w:p w14:paraId="71F1F291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“Opposites attract”</w:t>
            </w:r>
          </w:p>
        </w:tc>
        <w:tc>
          <w:tcPr>
            <w:tcW w:w="4855" w:type="dxa"/>
            <w:hideMark/>
          </w:tcPr>
          <w:p w14:paraId="69F3A181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State the actual reason not the memory aid</w:t>
            </w:r>
          </w:p>
        </w:tc>
      </w:tr>
      <w:tr w:rsidR="00493099" w:rsidRPr="00493099" w14:paraId="6639A132" w14:textId="77777777" w:rsidTr="00067B11">
        <w:trPr>
          <w:trHeight w:val="20"/>
        </w:trPr>
        <w:tc>
          <w:tcPr>
            <w:tcW w:w="3235" w:type="dxa"/>
            <w:hideMark/>
          </w:tcPr>
          <w:p w14:paraId="6D5F4131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Describe the process of overcoming intermolecular forces/polarity</w:t>
            </w:r>
          </w:p>
        </w:tc>
        <w:tc>
          <w:tcPr>
            <w:tcW w:w="2700" w:type="dxa"/>
            <w:hideMark/>
          </w:tcPr>
          <w:p w14:paraId="7A54F6A6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“Like dissolves like”</w:t>
            </w:r>
          </w:p>
        </w:tc>
        <w:tc>
          <w:tcPr>
            <w:tcW w:w="4855" w:type="dxa"/>
            <w:hideMark/>
          </w:tcPr>
          <w:p w14:paraId="28873644" w14:textId="77777777"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State the actual reason not the memory aid</w:t>
            </w:r>
          </w:p>
        </w:tc>
      </w:tr>
      <w:tr w:rsidR="00067B11" w:rsidRPr="00067B11" w14:paraId="1D846305" w14:textId="77777777" w:rsidTr="00067B11">
        <w:trPr>
          <w:trHeight w:val="20"/>
        </w:trPr>
        <w:tc>
          <w:tcPr>
            <w:tcW w:w="3235" w:type="dxa"/>
            <w:hideMark/>
          </w:tcPr>
          <w:p w14:paraId="4BE9FAD7" w14:textId="77777777"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</w:rPr>
              <w:t>Identify specific intermolecular forces at play</w:t>
            </w:r>
          </w:p>
        </w:tc>
        <w:tc>
          <w:tcPr>
            <w:tcW w:w="2700" w:type="dxa"/>
            <w:hideMark/>
          </w:tcPr>
          <w:p w14:paraId="6A48F7B9" w14:textId="77777777"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</w:rPr>
              <w:t>“stronger intermolecular forces”</w:t>
            </w:r>
          </w:p>
        </w:tc>
        <w:tc>
          <w:tcPr>
            <w:tcW w:w="4855" w:type="dxa"/>
            <w:hideMark/>
          </w:tcPr>
          <w:p w14:paraId="0C546A73" w14:textId="77777777"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</w:rPr>
              <w:t xml:space="preserve">Shows your understanding of the particulate-level chemistry </w:t>
            </w:r>
          </w:p>
        </w:tc>
      </w:tr>
      <w:tr w:rsidR="00067B11" w:rsidRPr="00067B11" w14:paraId="7848F386" w14:textId="77777777" w:rsidTr="00067B11">
        <w:trPr>
          <w:trHeight w:val="20"/>
        </w:trPr>
        <w:tc>
          <w:tcPr>
            <w:tcW w:w="3235" w:type="dxa"/>
            <w:hideMark/>
          </w:tcPr>
          <w:p w14:paraId="7AD774DB" w14:textId="77777777"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</w:rPr>
              <w:t>LDFs increase with an increasing number of electrons and therefore polarizability</w:t>
            </w:r>
          </w:p>
        </w:tc>
        <w:tc>
          <w:tcPr>
            <w:tcW w:w="2700" w:type="dxa"/>
            <w:hideMark/>
          </w:tcPr>
          <w:p w14:paraId="36AADEAF" w14:textId="77777777"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</w:rPr>
              <w:t>LDFs increase with increasing size/mass</w:t>
            </w:r>
          </w:p>
        </w:tc>
        <w:tc>
          <w:tcPr>
            <w:tcW w:w="4855" w:type="dxa"/>
            <w:hideMark/>
          </w:tcPr>
          <w:p w14:paraId="542DB36B" w14:textId="77777777"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</w:rPr>
              <w:t>Increased number of electrons in an atom is what increases LDF; increased size is not the reason for increased strength of LDF</w:t>
            </w:r>
          </w:p>
        </w:tc>
      </w:tr>
      <w:tr w:rsidR="00067B11" w:rsidRPr="00067B11" w14:paraId="1E37F584" w14:textId="77777777" w:rsidTr="00067B11">
        <w:trPr>
          <w:trHeight w:val="20"/>
        </w:trPr>
        <w:tc>
          <w:tcPr>
            <w:tcW w:w="3235" w:type="dxa"/>
            <w:hideMark/>
          </w:tcPr>
          <w:p w14:paraId="21B34BD9" w14:textId="77777777"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  <w:u w:val="single"/>
              </w:rPr>
              <w:t>Inter</w:t>
            </w:r>
            <w:r w:rsidRPr="00067B11">
              <w:rPr>
                <w:sz w:val="18"/>
              </w:rPr>
              <w:t xml:space="preserve">molecular forces in discussing physical properties (MP, BP, </w:t>
            </w:r>
            <w:proofErr w:type="spellStart"/>
            <w:r w:rsidRPr="00067B11">
              <w:rPr>
                <w:sz w:val="18"/>
              </w:rPr>
              <w:t>etc</w:t>
            </w:r>
            <w:proofErr w:type="spellEnd"/>
            <w:r w:rsidRPr="00067B11">
              <w:rPr>
                <w:sz w:val="18"/>
              </w:rPr>
              <w:t>)</w:t>
            </w:r>
          </w:p>
        </w:tc>
        <w:tc>
          <w:tcPr>
            <w:tcW w:w="2700" w:type="dxa"/>
            <w:hideMark/>
          </w:tcPr>
          <w:p w14:paraId="76719A85" w14:textId="77777777"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  <w:u w:val="single"/>
              </w:rPr>
              <w:t>Intra</w:t>
            </w:r>
            <w:r w:rsidRPr="00067B11">
              <w:rPr>
                <w:sz w:val="18"/>
              </w:rPr>
              <w:t>molecular forces (“bonds”) in discussing physical properties</w:t>
            </w:r>
          </w:p>
        </w:tc>
        <w:tc>
          <w:tcPr>
            <w:tcW w:w="4855" w:type="dxa"/>
            <w:hideMark/>
          </w:tcPr>
          <w:p w14:paraId="7F41E696" w14:textId="77777777"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</w:rPr>
              <w:t>Bonds are not broken and so intramolecular forces are not the determining factors (ref. 2018 #4a and 2019 #2c)</w:t>
            </w:r>
          </w:p>
        </w:tc>
      </w:tr>
      <w:tr w:rsidR="00067B11" w:rsidRPr="00067B11" w14:paraId="5947F7C2" w14:textId="77777777" w:rsidTr="00067B11">
        <w:trPr>
          <w:trHeight w:val="20"/>
        </w:trPr>
        <w:tc>
          <w:tcPr>
            <w:tcW w:w="3235" w:type="dxa"/>
            <w:hideMark/>
          </w:tcPr>
          <w:p w14:paraId="63D28784" w14:textId="77777777"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</w:rPr>
              <w:t>Pressure is caused by the collision of gas particles with the walls of a container.</w:t>
            </w:r>
          </w:p>
        </w:tc>
        <w:tc>
          <w:tcPr>
            <w:tcW w:w="2700" w:type="dxa"/>
            <w:hideMark/>
          </w:tcPr>
          <w:p w14:paraId="1EA5C67F" w14:textId="77777777"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</w:rPr>
              <w:t>Pressure is caused by the collision of gas particles.</w:t>
            </w:r>
          </w:p>
        </w:tc>
        <w:tc>
          <w:tcPr>
            <w:tcW w:w="4855" w:type="dxa"/>
            <w:hideMark/>
          </w:tcPr>
          <w:p w14:paraId="58BCAD0F" w14:textId="77777777"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</w:rPr>
              <w:t>Unclear wording – implies pressure is caused by gas particles colliding with each other not with the container (ref. 2019 #4c)</w:t>
            </w:r>
          </w:p>
        </w:tc>
      </w:tr>
      <w:tr w:rsidR="00067B11" w:rsidRPr="00067B11" w14:paraId="38AA4D0D" w14:textId="77777777" w:rsidTr="00067B11">
        <w:trPr>
          <w:trHeight w:val="20"/>
        </w:trPr>
        <w:tc>
          <w:tcPr>
            <w:tcW w:w="3235" w:type="dxa"/>
            <w:hideMark/>
          </w:tcPr>
          <w:p w14:paraId="38F8A91D" w14:textId="77777777"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</w:rPr>
              <w:t>Use R with corresponding units to those used in work (and correctly report final unit)</w:t>
            </w:r>
          </w:p>
        </w:tc>
        <w:tc>
          <w:tcPr>
            <w:tcW w:w="2700" w:type="dxa"/>
            <w:hideMark/>
          </w:tcPr>
          <w:p w14:paraId="367C9CFF" w14:textId="77777777"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</w:rPr>
              <w:t>R value with mismatched units</w:t>
            </w:r>
          </w:p>
        </w:tc>
        <w:tc>
          <w:tcPr>
            <w:tcW w:w="4855" w:type="dxa"/>
            <w:hideMark/>
          </w:tcPr>
          <w:p w14:paraId="659FA5D8" w14:textId="77777777"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</w:rPr>
              <w:t>Units used in Ideal Gas Law must match units on the R value (ref. 2018 #4b and 2019 #2d)</w:t>
            </w:r>
          </w:p>
        </w:tc>
      </w:tr>
      <w:tr w:rsidR="00067B11" w:rsidRPr="00067B11" w14:paraId="6CF5DBF2" w14:textId="77777777" w:rsidTr="00067B11">
        <w:trPr>
          <w:trHeight w:val="20"/>
        </w:trPr>
        <w:tc>
          <w:tcPr>
            <w:tcW w:w="3235" w:type="dxa"/>
            <w:hideMark/>
          </w:tcPr>
          <w:p w14:paraId="785AAFAE" w14:textId="77777777"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</w:rPr>
              <w:t>Comparison of R</w:t>
            </w:r>
            <w:r w:rsidRPr="00067B11">
              <w:rPr>
                <w:sz w:val="18"/>
                <w:vertAlign w:val="subscript"/>
              </w:rPr>
              <w:t>f</w:t>
            </w:r>
            <w:r w:rsidRPr="00067B11">
              <w:rPr>
                <w:sz w:val="18"/>
              </w:rPr>
              <w:t xml:space="preserve"> values in chromatography</w:t>
            </w:r>
          </w:p>
        </w:tc>
        <w:tc>
          <w:tcPr>
            <w:tcW w:w="2700" w:type="dxa"/>
            <w:hideMark/>
          </w:tcPr>
          <w:p w14:paraId="4A129CBF" w14:textId="77777777"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</w:rPr>
              <w:t>Comparison of absolute height of spots on chromatograms</w:t>
            </w:r>
          </w:p>
        </w:tc>
        <w:tc>
          <w:tcPr>
            <w:tcW w:w="4855" w:type="dxa"/>
            <w:hideMark/>
          </w:tcPr>
          <w:p w14:paraId="47143303" w14:textId="77777777"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</w:rPr>
              <w:t>Take into account a difference in the distance the solvent front travelled between different chromatograms (ref. 2017 #4)</w:t>
            </w:r>
          </w:p>
        </w:tc>
      </w:tr>
      <w:tr w:rsidR="00067B11" w:rsidRPr="00067B11" w14:paraId="758B845F" w14:textId="77777777" w:rsidTr="00067B11">
        <w:trPr>
          <w:trHeight w:val="20"/>
        </w:trPr>
        <w:tc>
          <w:tcPr>
            <w:tcW w:w="3235" w:type="dxa"/>
            <w:hideMark/>
          </w:tcPr>
          <w:p w14:paraId="2F03B54C" w14:textId="77777777"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</w:rPr>
              <w:t>Discussion of intermolecular forces between analyte molecules and stationary/mobile phases</w:t>
            </w:r>
          </w:p>
        </w:tc>
        <w:tc>
          <w:tcPr>
            <w:tcW w:w="2700" w:type="dxa"/>
            <w:hideMark/>
          </w:tcPr>
          <w:p w14:paraId="3C4EEB1E" w14:textId="77777777"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</w:rPr>
              <w:t>Repulsions between analyte molecules and stationary/mobile phases</w:t>
            </w:r>
          </w:p>
        </w:tc>
        <w:tc>
          <w:tcPr>
            <w:tcW w:w="4855" w:type="dxa"/>
            <w:hideMark/>
          </w:tcPr>
          <w:p w14:paraId="3A9EB4D1" w14:textId="77777777"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</w:rPr>
              <w:t>The movement in chromatography is determined by the attraction for the stationary/mobile phase (ref. 2017 #4)</w:t>
            </w:r>
          </w:p>
        </w:tc>
      </w:tr>
      <w:tr w:rsidR="00067B11" w:rsidRPr="00067B11" w14:paraId="65A97D68" w14:textId="77777777" w:rsidTr="00067B11">
        <w:trPr>
          <w:trHeight w:val="20"/>
        </w:trPr>
        <w:tc>
          <w:tcPr>
            <w:tcW w:w="3235" w:type="dxa"/>
            <w:hideMark/>
          </w:tcPr>
          <w:p w14:paraId="04623789" w14:textId="77777777"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</w:rPr>
              <w:t>“Solution” when an ionic compound is dissolved in water</w:t>
            </w:r>
          </w:p>
        </w:tc>
        <w:tc>
          <w:tcPr>
            <w:tcW w:w="2700" w:type="dxa"/>
            <w:hideMark/>
          </w:tcPr>
          <w:p w14:paraId="46F94289" w14:textId="77777777"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</w:rPr>
              <w:t>“Liquid” instead of solution</w:t>
            </w:r>
          </w:p>
        </w:tc>
        <w:tc>
          <w:tcPr>
            <w:tcW w:w="4855" w:type="dxa"/>
            <w:hideMark/>
          </w:tcPr>
          <w:p w14:paraId="637A4B59" w14:textId="77777777"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</w:rPr>
              <w:t>An ionic compound dissolved in water is a solution, not a liquid (the word liquid indicates a molten compound) (ref. 2019 #3e)</w:t>
            </w:r>
          </w:p>
        </w:tc>
      </w:tr>
    </w:tbl>
    <w:p w14:paraId="323CE416" w14:textId="77777777" w:rsidR="00493099" w:rsidRDefault="00493099" w:rsidP="009B51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2700"/>
        <w:gridCol w:w="4495"/>
      </w:tblGrid>
      <w:tr w:rsidR="00067B11" w:rsidRPr="009B51A3" w14:paraId="553E4DFC" w14:textId="77777777" w:rsidTr="00067B11">
        <w:trPr>
          <w:trHeight w:val="20"/>
        </w:trPr>
        <w:tc>
          <w:tcPr>
            <w:tcW w:w="10790" w:type="dxa"/>
            <w:gridSpan w:val="3"/>
          </w:tcPr>
          <w:p w14:paraId="6506E9A5" w14:textId="77777777" w:rsidR="00067B11" w:rsidRPr="009B51A3" w:rsidRDefault="00067B11" w:rsidP="00067B11">
            <w:pPr>
              <w:rPr>
                <w:b/>
              </w:rPr>
            </w:pPr>
            <w:r>
              <w:rPr>
                <w:b/>
              </w:rPr>
              <w:t>Unit 4: Chemical Reactions</w:t>
            </w:r>
          </w:p>
        </w:tc>
      </w:tr>
      <w:tr w:rsidR="00067B11" w:rsidRPr="009B51A3" w14:paraId="51C73767" w14:textId="77777777" w:rsidTr="00067B11">
        <w:trPr>
          <w:trHeight w:val="20"/>
        </w:trPr>
        <w:tc>
          <w:tcPr>
            <w:tcW w:w="3595" w:type="dxa"/>
            <w:shd w:val="clear" w:color="auto" w:fill="BFBFBF" w:themeFill="background1" w:themeFillShade="BF"/>
          </w:tcPr>
          <w:p w14:paraId="52429DBA" w14:textId="77777777" w:rsidR="00067B11" w:rsidRPr="009B51A3" w:rsidRDefault="00067B11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Write THIS...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14:paraId="60A9D8F6" w14:textId="77777777" w:rsidR="00067B11" w:rsidRPr="009B51A3" w:rsidRDefault="00067B11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NOT That!</w:t>
            </w:r>
          </w:p>
        </w:tc>
        <w:tc>
          <w:tcPr>
            <w:tcW w:w="4495" w:type="dxa"/>
            <w:shd w:val="clear" w:color="auto" w:fill="BFBFBF" w:themeFill="background1" w:themeFillShade="BF"/>
          </w:tcPr>
          <w:p w14:paraId="6EF540E3" w14:textId="77777777" w:rsidR="00067B11" w:rsidRPr="009B51A3" w:rsidRDefault="00067B11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Rational</w:t>
            </w:r>
          </w:p>
        </w:tc>
      </w:tr>
      <w:tr w:rsidR="00067B11" w:rsidRPr="00067B11" w14:paraId="74E7E378" w14:textId="77777777" w:rsidTr="00067B11">
        <w:trPr>
          <w:trHeight w:val="20"/>
        </w:trPr>
        <w:tc>
          <w:tcPr>
            <w:tcW w:w="3595" w:type="dxa"/>
            <w:hideMark/>
          </w:tcPr>
          <w:p w14:paraId="62A55CD5" w14:textId="77777777"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Net ionic equations only containing species that change</w:t>
            </w:r>
          </w:p>
        </w:tc>
        <w:tc>
          <w:tcPr>
            <w:tcW w:w="2700" w:type="dxa"/>
            <w:hideMark/>
          </w:tcPr>
          <w:p w14:paraId="7CE73F3A" w14:textId="77777777"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Aqueous ionic compounds in their undissociated form, spectator ions</w:t>
            </w:r>
          </w:p>
        </w:tc>
        <w:tc>
          <w:tcPr>
            <w:tcW w:w="4495" w:type="dxa"/>
            <w:hideMark/>
          </w:tcPr>
          <w:p w14:paraId="4E718AD5" w14:textId="77777777"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Including these is not a net ionic, it’s a molecular or complete ionic</w:t>
            </w:r>
          </w:p>
        </w:tc>
      </w:tr>
      <w:tr w:rsidR="00067B11" w:rsidRPr="00067B11" w14:paraId="57486AD6" w14:textId="77777777" w:rsidTr="00067B11">
        <w:trPr>
          <w:trHeight w:val="20"/>
        </w:trPr>
        <w:tc>
          <w:tcPr>
            <w:tcW w:w="3595" w:type="dxa"/>
            <w:hideMark/>
          </w:tcPr>
          <w:p w14:paraId="7F0E677A" w14:textId="77777777"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Polyatomic ions that are shown as a compound with the correct charge in solution</w:t>
            </w:r>
          </w:p>
        </w:tc>
        <w:tc>
          <w:tcPr>
            <w:tcW w:w="2700" w:type="dxa"/>
            <w:hideMark/>
          </w:tcPr>
          <w:p w14:paraId="66A4C14F" w14:textId="77777777"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Polyatomic ions that are broken down into elemental ions in solution</w:t>
            </w:r>
          </w:p>
        </w:tc>
        <w:tc>
          <w:tcPr>
            <w:tcW w:w="4495" w:type="dxa"/>
            <w:hideMark/>
          </w:tcPr>
          <w:p w14:paraId="5998D5A1" w14:textId="77777777"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Polyatomic ions themselves do not dissociate in solution, they only dissociate from the other ion in an ionic compound</w:t>
            </w:r>
          </w:p>
        </w:tc>
      </w:tr>
      <w:tr w:rsidR="00067B11" w:rsidRPr="00067B11" w14:paraId="4FB3CFA8" w14:textId="77777777" w:rsidTr="00067B11">
        <w:trPr>
          <w:trHeight w:val="20"/>
        </w:trPr>
        <w:tc>
          <w:tcPr>
            <w:tcW w:w="3595" w:type="dxa"/>
            <w:hideMark/>
          </w:tcPr>
          <w:p w14:paraId="10377C6C" w14:textId="77777777"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Net ionic equations with correct species, ionic charges and stoichiometric coefficients</w:t>
            </w:r>
          </w:p>
        </w:tc>
        <w:tc>
          <w:tcPr>
            <w:tcW w:w="2700" w:type="dxa"/>
            <w:hideMark/>
          </w:tcPr>
          <w:p w14:paraId="3BACE532" w14:textId="77777777"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Net ionic equations that contain incorrect formulas or ions without associated charges or that are not stoichiometrically balanced</w:t>
            </w:r>
          </w:p>
        </w:tc>
        <w:tc>
          <w:tcPr>
            <w:tcW w:w="4495" w:type="dxa"/>
            <w:hideMark/>
          </w:tcPr>
          <w:p w14:paraId="72E17E36" w14:textId="77777777"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Net ionic equations must correctly represent the ions and other species (ref. 2018 #6a and 2019 #3a)</w:t>
            </w:r>
          </w:p>
        </w:tc>
      </w:tr>
      <w:tr w:rsidR="00067B11" w:rsidRPr="00067B11" w14:paraId="058584D0" w14:textId="77777777" w:rsidTr="00067B11">
        <w:trPr>
          <w:trHeight w:val="20"/>
        </w:trPr>
        <w:tc>
          <w:tcPr>
            <w:tcW w:w="3595" w:type="dxa"/>
            <w:hideMark/>
          </w:tcPr>
          <w:p w14:paraId="40324B8E" w14:textId="77777777"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lastRenderedPageBreak/>
              <w:t>Determination of the concentration of an analyte in a titration that takes into account the stoichiometry of the reaction</w:t>
            </w:r>
          </w:p>
        </w:tc>
        <w:tc>
          <w:tcPr>
            <w:tcW w:w="2700" w:type="dxa"/>
            <w:hideMark/>
          </w:tcPr>
          <w:p w14:paraId="64895329" w14:textId="77777777"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Applying M</w:t>
            </w:r>
            <w:r w:rsidRPr="00067B11">
              <w:rPr>
                <w:sz w:val="18"/>
                <w:szCs w:val="18"/>
                <w:vertAlign w:val="subscript"/>
              </w:rPr>
              <w:t>1</w:t>
            </w:r>
            <w:r w:rsidRPr="00067B11">
              <w:rPr>
                <w:sz w:val="18"/>
                <w:szCs w:val="18"/>
              </w:rPr>
              <w:t>V</w:t>
            </w:r>
            <w:r w:rsidRPr="00067B11">
              <w:rPr>
                <w:sz w:val="18"/>
                <w:szCs w:val="18"/>
                <w:vertAlign w:val="subscript"/>
              </w:rPr>
              <w:t>1</w:t>
            </w:r>
            <w:r w:rsidRPr="00067B11">
              <w:rPr>
                <w:sz w:val="18"/>
                <w:szCs w:val="18"/>
              </w:rPr>
              <w:t>=M</w:t>
            </w:r>
            <w:r w:rsidRPr="00067B11">
              <w:rPr>
                <w:sz w:val="18"/>
                <w:szCs w:val="18"/>
                <w:vertAlign w:val="subscript"/>
              </w:rPr>
              <w:t>2</w:t>
            </w:r>
            <w:r w:rsidRPr="00067B11">
              <w:rPr>
                <w:sz w:val="18"/>
                <w:szCs w:val="18"/>
              </w:rPr>
              <w:t>V</w:t>
            </w:r>
            <w:r w:rsidRPr="00067B11">
              <w:rPr>
                <w:sz w:val="18"/>
                <w:szCs w:val="18"/>
                <w:vertAlign w:val="subscript"/>
              </w:rPr>
              <w:t>2</w:t>
            </w:r>
            <w:r w:rsidRPr="00067B11">
              <w:rPr>
                <w:sz w:val="18"/>
                <w:szCs w:val="18"/>
              </w:rPr>
              <w:t xml:space="preserve"> as a blanket method for determining concentration at an end point if the stoichiometry is not 1:1</w:t>
            </w:r>
          </w:p>
        </w:tc>
        <w:tc>
          <w:tcPr>
            <w:tcW w:w="4495" w:type="dxa"/>
            <w:hideMark/>
          </w:tcPr>
          <w:p w14:paraId="03483E2A" w14:textId="77777777"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While acid-base titrations are often 1:1, not all titrations (especially REDOX titrations) follow this stoichiometry; in situations that are not 1:1, the stoichiometric ratios must be accounted for in calculations (ref. 2018 #3e)</w:t>
            </w:r>
          </w:p>
        </w:tc>
      </w:tr>
      <w:tr w:rsidR="00067B11" w:rsidRPr="00067B11" w14:paraId="278822AB" w14:textId="77777777" w:rsidTr="00067B11">
        <w:trPr>
          <w:trHeight w:val="20"/>
        </w:trPr>
        <w:tc>
          <w:tcPr>
            <w:tcW w:w="3595" w:type="dxa"/>
            <w:hideMark/>
          </w:tcPr>
          <w:p w14:paraId="6E44D1D7" w14:textId="77777777"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Justification of whether a species is oxidized/reduced by referencing oxidation numbers</w:t>
            </w:r>
          </w:p>
        </w:tc>
        <w:tc>
          <w:tcPr>
            <w:tcW w:w="2700" w:type="dxa"/>
            <w:hideMark/>
          </w:tcPr>
          <w:p w14:paraId="6133115E" w14:textId="77777777"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 xml:space="preserve">A justification of oxidation/reduction that uses charge on an ion  </w:t>
            </w:r>
          </w:p>
        </w:tc>
        <w:tc>
          <w:tcPr>
            <w:tcW w:w="4495" w:type="dxa"/>
            <w:hideMark/>
          </w:tcPr>
          <w:p w14:paraId="7F2E1FD5" w14:textId="77777777"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Oxidation numbers are assigned to individual atoms in the reaction, and they are not automatically the same as the charge in a polyatomic ion (ref. 2019 #7a)</w:t>
            </w:r>
          </w:p>
        </w:tc>
      </w:tr>
      <w:tr w:rsidR="00067B11" w:rsidRPr="00493099" w14:paraId="287A85AC" w14:textId="77777777" w:rsidTr="00067B11">
        <w:trPr>
          <w:trHeight w:val="20"/>
        </w:trPr>
        <w:tc>
          <w:tcPr>
            <w:tcW w:w="3595" w:type="dxa"/>
            <w:hideMark/>
          </w:tcPr>
          <w:p w14:paraId="2CA6D05D" w14:textId="77777777" w:rsidR="00067B11" w:rsidRPr="00493099" w:rsidRDefault="00067B11" w:rsidP="00067B11">
            <w:pPr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 xml:space="preserve">Hydrogen bonding, dipole-dipole, London dispersion forces, etc. when asked to identify intermolecular forces </w:t>
            </w:r>
          </w:p>
        </w:tc>
        <w:tc>
          <w:tcPr>
            <w:tcW w:w="2700" w:type="dxa"/>
            <w:hideMark/>
          </w:tcPr>
          <w:p w14:paraId="16945C40" w14:textId="77777777" w:rsidR="00067B11" w:rsidRPr="00493099" w:rsidRDefault="00067B11" w:rsidP="00067B11">
            <w:pPr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Ionic bonds, covalent bonds, metallic bonds when asked to identify intermolecular forces</w:t>
            </w:r>
          </w:p>
        </w:tc>
        <w:tc>
          <w:tcPr>
            <w:tcW w:w="4495" w:type="dxa"/>
            <w:hideMark/>
          </w:tcPr>
          <w:p w14:paraId="54A3BC45" w14:textId="77777777" w:rsidR="00067B11" w:rsidRPr="00493099" w:rsidRDefault="00067B11" w:rsidP="00067B11">
            <w:pPr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Intermolecular forces are attractions between molecules; bonds are intramolecular forces (within molecules)</w:t>
            </w:r>
          </w:p>
        </w:tc>
      </w:tr>
    </w:tbl>
    <w:p w14:paraId="7F66F2D2" w14:textId="77777777" w:rsidR="00067B11" w:rsidRDefault="00067B11" w:rsidP="009B51A3"/>
    <w:p w14:paraId="2B7E4C3D" w14:textId="77777777" w:rsidR="00067B11" w:rsidRDefault="00067B11" w:rsidP="009B51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2700"/>
        <w:gridCol w:w="4495"/>
      </w:tblGrid>
      <w:tr w:rsidR="00067B11" w:rsidRPr="009B51A3" w14:paraId="4D1DCE04" w14:textId="77777777" w:rsidTr="00067B11">
        <w:trPr>
          <w:trHeight w:val="20"/>
        </w:trPr>
        <w:tc>
          <w:tcPr>
            <w:tcW w:w="10790" w:type="dxa"/>
            <w:gridSpan w:val="3"/>
          </w:tcPr>
          <w:p w14:paraId="273F9402" w14:textId="77777777" w:rsidR="00067B11" w:rsidRPr="009B51A3" w:rsidRDefault="00067B11" w:rsidP="00067B11">
            <w:pPr>
              <w:rPr>
                <w:b/>
              </w:rPr>
            </w:pPr>
            <w:r>
              <w:rPr>
                <w:b/>
              </w:rPr>
              <w:t>Unit 5: Kinetics</w:t>
            </w:r>
          </w:p>
        </w:tc>
      </w:tr>
      <w:tr w:rsidR="00067B11" w:rsidRPr="009B51A3" w14:paraId="74609E7D" w14:textId="77777777" w:rsidTr="00067B11">
        <w:trPr>
          <w:trHeight w:val="20"/>
        </w:trPr>
        <w:tc>
          <w:tcPr>
            <w:tcW w:w="3595" w:type="dxa"/>
            <w:shd w:val="clear" w:color="auto" w:fill="BFBFBF" w:themeFill="background1" w:themeFillShade="BF"/>
          </w:tcPr>
          <w:p w14:paraId="0B755FA0" w14:textId="77777777" w:rsidR="00067B11" w:rsidRPr="009B51A3" w:rsidRDefault="00067B11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Write THIS...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14:paraId="30E22D61" w14:textId="77777777" w:rsidR="00067B11" w:rsidRPr="009B51A3" w:rsidRDefault="00067B11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NOT That!</w:t>
            </w:r>
          </w:p>
        </w:tc>
        <w:tc>
          <w:tcPr>
            <w:tcW w:w="4495" w:type="dxa"/>
            <w:shd w:val="clear" w:color="auto" w:fill="BFBFBF" w:themeFill="background1" w:themeFillShade="BF"/>
          </w:tcPr>
          <w:p w14:paraId="6FF3BB2D" w14:textId="77777777" w:rsidR="00067B11" w:rsidRPr="009B51A3" w:rsidRDefault="00067B11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Rational</w:t>
            </w:r>
          </w:p>
        </w:tc>
      </w:tr>
      <w:tr w:rsidR="00067B11" w:rsidRPr="00067B11" w14:paraId="79CBAAF0" w14:textId="77777777" w:rsidTr="00067B11">
        <w:trPr>
          <w:trHeight w:val="20"/>
        </w:trPr>
        <w:tc>
          <w:tcPr>
            <w:tcW w:w="3595" w:type="dxa"/>
            <w:hideMark/>
          </w:tcPr>
          <w:p w14:paraId="39AD060A" w14:textId="77777777"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A rate law based only on reactants</w:t>
            </w:r>
          </w:p>
        </w:tc>
        <w:tc>
          <w:tcPr>
            <w:tcW w:w="2700" w:type="dxa"/>
            <w:hideMark/>
          </w:tcPr>
          <w:p w14:paraId="3DCD8560" w14:textId="77777777"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A rate law that includes products</w:t>
            </w:r>
          </w:p>
        </w:tc>
        <w:tc>
          <w:tcPr>
            <w:tcW w:w="4495" w:type="dxa"/>
            <w:hideMark/>
          </w:tcPr>
          <w:p w14:paraId="10828241" w14:textId="77777777"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Rate laws are based only on reactants</w:t>
            </w:r>
          </w:p>
        </w:tc>
      </w:tr>
      <w:tr w:rsidR="00067B11" w:rsidRPr="00067B11" w14:paraId="0A8F8EBE" w14:textId="77777777" w:rsidTr="00067B11">
        <w:trPr>
          <w:trHeight w:val="20"/>
        </w:trPr>
        <w:tc>
          <w:tcPr>
            <w:tcW w:w="3595" w:type="dxa"/>
            <w:hideMark/>
          </w:tcPr>
          <w:p w14:paraId="1569A34A" w14:textId="77777777"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A rate law that includes the rate constant k as part of it</w:t>
            </w:r>
          </w:p>
        </w:tc>
        <w:tc>
          <w:tcPr>
            <w:tcW w:w="2700" w:type="dxa"/>
            <w:hideMark/>
          </w:tcPr>
          <w:p w14:paraId="10AA0928" w14:textId="77777777"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A rate law without k being included</w:t>
            </w:r>
          </w:p>
        </w:tc>
        <w:tc>
          <w:tcPr>
            <w:tcW w:w="4495" w:type="dxa"/>
            <w:hideMark/>
          </w:tcPr>
          <w:p w14:paraId="662DEAA4" w14:textId="77777777"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Incomplete rate law if k is not included</w:t>
            </w:r>
          </w:p>
        </w:tc>
      </w:tr>
      <w:tr w:rsidR="00067B11" w:rsidRPr="00067B11" w14:paraId="72C1FA4A" w14:textId="77777777" w:rsidTr="00067B11">
        <w:trPr>
          <w:trHeight w:val="20"/>
        </w:trPr>
        <w:tc>
          <w:tcPr>
            <w:tcW w:w="3595" w:type="dxa"/>
            <w:hideMark/>
          </w:tcPr>
          <w:p w14:paraId="4063B77C" w14:textId="77777777"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Value of k with units</w:t>
            </w:r>
          </w:p>
        </w:tc>
        <w:tc>
          <w:tcPr>
            <w:tcW w:w="2700" w:type="dxa"/>
            <w:hideMark/>
          </w:tcPr>
          <w:p w14:paraId="4C82ED2F" w14:textId="77777777"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Value of k without units</w:t>
            </w:r>
          </w:p>
        </w:tc>
        <w:tc>
          <w:tcPr>
            <w:tcW w:w="4495" w:type="dxa"/>
            <w:hideMark/>
          </w:tcPr>
          <w:p w14:paraId="55D1F572" w14:textId="77777777"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Units required to earn point</w:t>
            </w:r>
          </w:p>
        </w:tc>
      </w:tr>
      <w:tr w:rsidR="00067B11" w:rsidRPr="00067B11" w14:paraId="11245636" w14:textId="77777777" w:rsidTr="00067B11">
        <w:trPr>
          <w:trHeight w:val="20"/>
        </w:trPr>
        <w:tc>
          <w:tcPr>
            <w:tcW w:w="3595" w:type="dxa"/>
            <w:hideMark/>
          </w:tcPr>
          <w:p w14:paraId="16ABEDF5" w14:textId="77777777"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Specific parts of the molecules that must collide in order for the reaction to occur</w:t>
            </w:r>
          </w:p>
        </w:tc>
        <w:tc>
          <w:tcPr>
            <w:tcW w:w="2700" w:type="dxa"/>
            <w:hideMark/>
          </w:tcPr>
          <w:p w14:paraId="5CD49A42" w14:textId="77777777"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“Collision must occur in the correct orientation”</w:t>
            </w:r>
          </w:p>
        </w:tc>
        <w:tc>
          <w:tcPr>
            <w:tcW w:w="4495" w:type="dxa"/>
            <w:hideMark/>
          </w:tcPr>
          <w:p w14:paraId="632EB00A" w14:textId="77777777"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Show your understanding of the chemistry at play</w:t>
            </w:r>
          </w:p>
        </w:tc>
      </w:tr>
      <w:tr w:rsidR="00067B11" w:rsidRPr="00067B11" w14:paraId="62F2FE5C" w14:textId="77777777" w:rsidTr="00067B11">
        <w:trPr>
          <w:trHeight w:val="20"/>
        </w:trPr>
        <w:tc>
          <w:tcPr>
            <w:tcW w:w="3595" w:type="dxa"/>
            <w:hideMark/>
          </w:tcPr>
          <w:p w14:paraId="3A0C22A5" w14:textId="77777777"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A validation of a proposed mechanism by showing that the rate law matches the slow (rate-determining step) and the mechanism matching the overall stoichiometry for the reaction.</w:t>
            </w:r>
          </w:p>
        </w:tc>
        <w:tc>
          <w:tcPr>
            <w:tcW w:w="2700" w:type="dxa"/>
            <w:hideMark/>
          </w:tcPr>
          <w:p w14:paraId="7E99E349" w14:textId="77777777"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A justification of a mechanism just by saying “it matches the rate law” or “the intermediates cancel to give the overall process”.</w:t>
            </w:r>
          </w:p>
        </w:tc>
        <w:tc>
          <w:tcPr>
            <w:tcW w:w="4495" w:type="dxa"/>
            <w:hideMark/>
          </w:tcPr>
          <w:p w14:paraId="70B1756E" w14:textId="77777777"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The rate law must be discussed as matching the rate-determining step, and the overall stoichiometry should always match for any proposed mechanism – an understanding of the rate determining step must be demonstrated. (ref. 2019 #6b)</w:t>
            </w:r>
          </w:p>
        </w:tc>
      </w:tr>
    </w:tbl>
    <w:p w14:paraId="1F1503F0" w14:textId="77777777" w:rsidR="00067B11" w:rsidRDefault="00067B11" w:rsidP="009B51A3">
      <w:r>
        <w:t xml:space="preserve"> </w:t>
      </w:r>
    </w:p>
    <w:p w14:paraId="0444D2FA" w14:textId="77777777" w:rsidR="00067B11" w:rsidRDefault="00067B11" w:rsidP="009B51A3"/>
    <w:p w14:paraId="5F5E6A8E" w14:textId="77777777" w:rsidR="00067B11" w:rsidRDefault="00067B11" w:rsidP="009B51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2340"/>
        <w:gridCol w:w="4855"/>
      </w:tblGrid>
      <w:tr w:rsidR="00067B11" w:rsidRPr="009B51A3" w14:paraId="33CC32C3" w14:textId="77777777" w:rsidTr="00067B11">
        <w:trPr>
          <w:trHeight w:val="20"/>
        </w:trPr>
        <w:tc>
          <w:tcPr>
            <w:tcW w:w="10790" w:type="dxa"/>
            <w:gridSpan w:val="3"/>
          </w:tcPr>
          <w:p w14:paraId="442AAA18" w14:textId="77777777" w:rsidR="00067B11" w:rsidRPr="009B51A3" w:rsidRDefault="00067B11" w:rsidP="00067B11">
            <w:pPr>
              <w:rPr>
                <w:b/>
              </w:rPr>
            </w:pPr>
            <w:r>
              <w:rPr>
                <w:b/>
              </w:rPr>
              <w:t>Unit 6: Thermodynamics</w:t>
            </w:r>
          </w:p>
        </w:tc>
      </w:tr>
      <w:tr w:rsidR="00067B11" w:rsidRPr="009B51A3" w14:paraId="357C8F97" w14:textId="77777777" w:rsidTr="00067B11">
        <w:trPr>
          <w:trHeight w:val="20"/>
        </w:trPr>
        <w:tc>
          <w:tcPr>
            <w:tcW w:w="3595" w:type="dxa"/>
            <w:shd w:val="clear" w:color="auto" w:fill="BFBFBF" w:themeFill="background1" w:themeFillShade="BF"/>
          </w:tcPr>
          <w:p w14:paraId="3BC426BA" w14:textId="77777777" w:rsidR="00067B11" w:rsidRPr="009B51A3" w:rsidRDefault="00067B11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Write THIS...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14:paraId="6F0E76C6" w14:textId="77777777" w:rsidR="00067B11" w:rsidRPr="009B51A3" w:rsidRDefault="00067B11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NOT That!</w:t>
            </w:r>
          </w:p>
        </w:tc>
        <w:tc>
          <w:tcPr>
            <w:tcW w:w="4855" w:type="dxa"/>
            <w:shd w:val="clear" w:color="auto" w:fill="BFBFBF" w:themeFill="background1" w:themeFillShade="BF"/>
          </w:tcPr>
          <w:p w14:paraId="18EF7588" w14:textId="77777777" w:rsidR="00067B11" w:rsidRPr="009B51A3" w:rsidRDefault="00067B11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Rational</w:t>
            </w:r>
          </w:p>
        </w:tc>
      </w:tr>
      <w:tr w:rsidR="00067B11" w:rsidRPr="00067B11" w14:paraId="1BD1EF36" w14:textId="77777777" w:rsidTr="00067B11">
        <w:trPr>
          <w:trHeight w:val="20"/>
        </w:trPr>
        <w:tc>
          <w:tcPr>
            <w:tcW w:w="3595" w:type="dxa"/>
            <w:hideMark/>
          </w:tcPr>
          <w:p w14:paraId="069D5BA4" w14:textId="77777777"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“Thermodynamically favorable”, “thermodynamically feasible”</w:t>
            </w:r>
          </w:p>
        </w:tc>
        <w:tc>
          <w:tcPr>
            <w:tcW w:w="2340" w:type="dxa"/>
            <w:hideMark/>
          </w:tcPr>
          <w:p w14:paraId="5DD15680" w14:textId="77777777"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“Spontaneous”</w:t>
            </w:r>
          </w:p>
        </w:tc>
        <w:tc>
          <w:tcPr>
            <w:tcW w:w="4855" w:type="dxa"/>
            <w:hideMark/>
          </w:tcPr>
          <w:p w14:paraId="42F067FB" w14:textId="77777777"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Preferred AP language</w:t>
            </w:r>
          </w:p>
        </w:tc>
      </w:tr>
      <w:tr w:rsidR="00067B11" w:rsidRPr="00067B11" w14:paraId="2AF2508B" w14:textId="77777777" w:rsidTr="00067B11">
        <w:trPr>
          <w:trHeight w:val="20"/>
        </w:trPr>
        <w:tc>
          <w:tcPr>
            <w:tcW w:w="3595" w:type="dxa"/>
            <w:hideMark/>
          </w:tcPr>
          <w:p w14:paraId="5FD2BB17" w14:textId="77777777"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Values with correct signs</w:t>
            </w:r>
          </w:p>
        </w:tc>
        <w:tc>
          <w:tcPr>
            <w:tcW w:w="2340" w:type="dxa"/>
            <w:hideMark/>
          </w:tcPr>
          <w:p w14:paraId="32603E58" w14:textId="77777777"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Values with incorrect signs</w:t>
            </w:r>
          </w:p>
        </w:tc>
        <w:tc>
          <w:tcPr>
            <w:tcW w:w="4855" w:type="dxa"/>
            <w:hideMark/>
          </w:tcPr>
          <w:p w14:paraId="31447968" w14:textId="77777777"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Necessary for correct calculations and determinations – watch signs based on bonds breaking/forming, heat flow in calorimetry indicated by temperature changes, signs that may change in application of Hess’ Law, etc.</w:t>
            </w:r>
          </w:p>
        </w:tc>
      </w:tr>
      <w:tr w:rsidR="00067B11" w:rsidRPr="00067B11" w14:paraId="11B2F69E" w14:textId="77777777" w:rsidTr="00067B11">
        <w:trPr>
          <w:trHeight w:val="20"/>
        </w:trPr>
        <w:tc>
          <w:tcPr>
            <w:tcW w:w="3595" w:type="dxa"/>
            <w:hideMark/>
          </w:tcPr>
          <w:p w14:paraId="2D089C18" w14:textId="77777777"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Using values of q recognizing that it is the amount of energy absorbed/released during a thermodynamic change</w:t>
            </w:r>
          </w:p>
        </w:tc>
        <w:tc>
          <w:tcPr>
            <w:tcW w:w="2340" w:type="dxa"/>
            <w:hideMark/>
          </w:tcPr>
          <w:p w14:paraId="3E591604" w14:textId="77777777"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Using values of q interchangeably as values of ΔH without taking the entire situation into account.</w:t>
            </w:r>
          </w:p>
        </w:tc>
        <w:tc>
          <w:tcPr>
            <w:tcW w:w="4855" w:type="dxa"/>
            <w:hideMark/>
          </w:tcPr>
          <w:p w14:paraId="7AAE745C" w14:textId="77777777"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ΔH and q do not have identical meaning; ΔH is the enthalpy change for a reaction, q is the overall amount of heat exchanged ;  Stoichiometric relationships, the component of the system being examined, etc. may influence how q should be manipulated to determine  ΔH (ref. 2018 #1)</w:t>
            </w:r>
          </w:p>
        </w:tc>
      </w:tr>
      <w:tr w:rsidR="00067B11" w:rsidRPr="00067B11" w14:paraId="33B4F2E2" w14:textId="77777777" w:rsidTr="00067B11">
        <w:trPr>
          <w:trHeight w:val="20"/>
        </w:trPr>
        <w:tc>
          <w:tcPr>
            <w:tcW w:w="3595" w:type="dxa"/>
            <w:hideMark/>
          </w:tcPr>
          <w:p w14:paraId="19ABD55B" w14:textId="77777777"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In using q=</w:t>
            </w:r>
            <w:proofErr w:type="spellStart"/>
            <w:r w:rsidRPr="00067B11">
              <w:rPr>
                <w:sz w:val="18"/>
              </w:rPr>
              <w:t>mcΔT</w:t>
            </w:r>
            <w:proofErr w:type="spellEnd"/>
            <w:r w:rsidRPr="00067B11">
              <w:rPr>
                <w:sz w:val="18"/>
              </w:rPr>
              <w:t xml:space="preserve"> for solutions, using mass of ENTIRE solution for m</w:t>
            </w:r>
          </w:p>
        </w:tc>
        <w:tc>
          <w:tcPr>
            <w:tcW w:w="2340" w:type="dxa"/>
            <w:hideMark/>
          </w:tcPr>
          <w:p w14:paraId="7024C23F" w14:textId="77777777"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Using mass of only one component of solution</w:t>
            </w:r>
          </w:p>
        </w:tc>
        <w:tc>
          <w:tcPr>
            <w:tcW w:w="4855" w:type="dxa"/>
            <w:hideMark/>
          </w:tcPr>
          <w:p w14:paraId="4D3CE1F3" w14:textId="77777777"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When using q=</w:t>
            </w:r>
            <w:proofErr w:type="spellStart"/>
            <w:r w:rsidRPr="00067B11">
              <w:rPr>
                <w:sz w:val="18"/>
              </w:rPr>
              <w:t>mcΔT</w:t>
            </w:r>
            <w:proofErr w:type="spellEnd"/>
            <w:r w:rsidRPr="00067B11">
              <w:rPr>
                <w:sz w:val="18"/>
              </w:rPr>
              <w:t>, the mass of the entire system being examined must be used</w:t>
            </w:r>
          </w:p>
        </w:tc>
      </w:tr>
      <w:tr w:rsidR="00067B11" w:rsidRPr="00067B11" w14:paraId="41ED7215" w14:textId="77777777" w:rsidTr="00067B11">
        <w:trPr>
          <w:trHeight w:val="20"/>
        </w:trPr>
        <w:tc>
          <w:tcPr>
            <w:tcW w:w="3595" w:type="dxa"/>
            <w:hideMark/>
          </w:tcPr>
          <w:p w14:paraId="3FD68624" w14:textId="77777777"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Use a thermometer to measure temperature values, and then subtract to find ΔT</w:t>
            </w:r>
          </w:p>
        </w:tc>
        <w:tc>
          <w:tcPr>
            <w:tcW w:w="2340" w:type="dxa"/>
            <w:hideMark/>
          </w:tcPr>
          <w:p w14:paraId="23E4FC34" w14:textId="77777777"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Use a thermometer to measure ΔT</w:t>
            </w:r>
          </w:p>
        </w:tc>
        <w:tc>
          <w:tcPr>
            <w:tcW w:w="4855" w:type="dxa"/>
            <w:hideMark/>
          </w:tcPr>
          <w:p w14:paraId="22AC2AAA" w14:textId="77777777"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A thermometer doesn’t measure  ΔT, it measures T values that can then be used to calculate  ΔT  (ref. 2019 #1e)</w:t>
            </w:r>
          </w:p>
        </w:tc>
      </w:tr>
      <w:tr w:rsidR="00067B11" w:rsidRPr="00067B11" w14:paraId="1C4D3ADB" w14:textId="77777777" w:rsidTr="00067B11">
        <w:trPr>
          <w:trHeight w:val="20"/>
        </w:trPr>
        <w:tc>
          <w:tcPr>
            <w:tcW w:w="3595" w:type="dxa"/>
            <w:hideMark/>
          </w:tcPr>
          <w:p w14:paraId="4D3E5D8E" w14:textId="77777777"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 xml:space="preserve">ΔH°=Σ(enthalpies of bonds broken) –Σ(enthalpies of bonds formed) when calculating  </w:t>
            </w:r>
            <w:proofErr w:type="spellStart"/>
            <w:r w:rsidRPr="00067B11">
              <w:rPr>
                <w:sz w:val="18"/>
              </w:rPr>
              <w:t>ΔH°</w:t>
            </w:r>
            <w:r w:rsidRPr="00067B11">
              <w:rPr>
                <w:sz w:val="18"/>
                <w:vertAlign w:val="subscript"/>
              </w:rPr>
              <w:t>rxn</w:t>
            </w:r>
            <w:proofErr w:type="spellEnd"/>
            <w:r w:rsidRPr="00067B11">
              <w:rPr>
                <w:sz w:val="18"/>
              </w:rPr>
              <w:t xml:space="preserve">  from bond energies</w:t>
            </w:r>
          </w:p>
        </w:tc>
        <w:tc>
          <w:tcPr>
            <w:tcW w:w="2340" w:type="dxa"/>
            <w:hideMark/>
          </w:tcPr>
          <w:p w14:paraId="6C97E6D3" w14:textId="77777777"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proofErr w:type="spellStart"/>
            <w:r w:rsidRPr="00067B11">
              <w:rPr>
                <w:sz w:val="18"/>
              </w:rPr>
              <w:t>ΔH°</w:t>
            </w:r>
            <w:r w:rsidRPr="00067B11">
              <w:rPr>
                <w:sz w:val="18"/>
                <w:vertAlign w:val="subscript"/>
              </w:rPr>
              <w:t>rxn</w:t>
            </w:r>
            <w:proofErr w:type="spellEnd"/>
            <w:r w:rsidRPr="00067B11">
              <w:rPr>
                <w:sz w:val="18"/>
              </w:rPr>
              <w:t xml:space="preserve"> = </w:t>
            </w:r>
            <w:proofErr w:type="spellStart"/>
            <w:r w:rsidRPr="00067B11">
              <w:rPr>
                <w:sz w:val="18"/>
              </w:rPr>
              <w:t>ΔH</w:t>
            </w:r>
            <w:r w:rsidRPr="00067B11">
              <w:rPr>
                <w:sz w:val="18"/>
                <w:vertAlign w:val="subscript"/>
              </w:rPr>
              <w:t>products</w:t>
            </w:r>
            <w:proofErr w:type="spellEnd"/>
            <w:r w:rsidRPr="00067B11">
              <w:rPr>
                <w:sz w:val="18"/>
              </w:rPr>
              <w:t xml:space="preserve"> – </w:t>
            </w:r>
            <w:proofErr w:type="spellStart"/>
            <w:r w:rsidRPr="00067B11">
              <w:rPr>
                <w:sz w:val="18"/>
              </w:rPr>
              <w:t>ΔH</w:t>
            </w:r>
            <w:r w:rsidRPr="00067B11">
              <w:rPr>
                <w:sz w:val="18"/>
                <w:vertAlign w:val="subscript"/>
              </w:rPr>
              <w:t>reactants</w:t>
            </w:r>
            <w:proofErr w:type="spellEnd"/>
            <w:r w:rsidRPr="00067B11">
              <w:rPr>
                <w:sz w:val="18"/>
              </w:rPr>
              <w:t xml:space="preserve"> when calculating  </w:t>
            </w:r>
            <w:proofErr w:type="spellStart"/>
            <w:r w:rsidRPr="00067B11">
              <w:rPr>
                <w:sz w:val="18"/>
              </w:rPr>
              <w:t>ΔH°</w:t>
            </w:r>
            <w:r w:rsidRPr="00067B11">
              <w:rPr>
                <w:sz w:val="18"/>
                <w:vertAlign w:val="subscript"/>
              </w:rPr>
              <w:t>rxn</w:t>
            </w:r>
            <w:proofErr w:type="spellEnd"/>
            <w:r w:rsidRPr="00067B11">
              <w:rPr>
                <w:sz w:val="18"/>
              </w:rPr>
              <w:t xml:space="preserve"> from bond energies</w:t>
            </w:r>
          </w:p>
        </w:tc>
        <w:tc>
          <w:tcPr>
            <w:tcW w:w="4855" w:type="dxa"/>
            <w:hideMark/>
          </w:tcPr>
          <w:p w14:paraId="1A7F2F7B" w14:textId="77777777"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 xml:space="preserve">Applying the wrong formula will give an incorrect sign for the  </w:t>
            </w:r>
            <w:proofErr w:type="spellStart"/>
            <w:r w:rsidRPr="00067B11">
              <w:rPr>
                <w:sz w:val="18"/>
              </w:rPr>
              <w:t>ΔH°</w:t>
            </w:r>
            <w:r w:rsidRPr="00067B11">
              <w:rPr>
                <w:sz w:val="18"/>
                <w:vertAlign w:val="subscript"/>
              </w:rPr>
              <w:t>rxn</w:t>
            </w:r>
            <w:proofErr w:type="spellEnd"/>
            <w:r w:rsidRPr="00067B11">
              <w:rPr>
                <w:sz w:val="18"/>
                <w:vertAlign w:val="subscript"/>
              </w:rPr>
              <w:t xml:space="preserve"> </w:t>
            </w:r>
            <w:r w:rsidRPr="00067B11">
              <w:rPr>
                <w:sz w:val="18"/>
              </w:rPr>
              <w:t>(ref. 2017 #2b)</w:t>
            </w:r>
          </w:p>
        </w:tc>
      </w:tr>
      <w:tr w:rsidR="00067B11" w:rsidRPr="00067B11" w14:paraId="55202437" w14:textId="77777777" w:rsidTr="00067B11">
        <w:trPr>
          <w:trHeight w:val="20"/>
        </w:trPr>
        <w:tc>
          <w:tcPr>
            <w:tcW w:w="3595" w:type="dxa"/>
            <w:hideMark/>
          </w:tcPr>
          <w:p w14:paraId="59D7ADBD" w14:textId="77777777"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Multiplying bond energy values by stoichiometric factors as well as number of bonds in a molecule when calculating ΔH from bond energies</w:t>
            </w:r>
          </w:p>
        </w:tc>
        <w:tc>
          <w:tcPr>
            <w:tcW w:w="2340" w:type="dxa"/>
            <w:hideMark/>
          </w:tcPr>
          <w:p w14:paraId="4230FEC1" w14:textId="77777777"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Only using number of bonds in a single molecule without taking stoichiometric factors into account</w:t>
            </w:r>
          </w:p>
        </w:tc>
        <w:tc>
          <w:tcPr>
            <w:tcW w:w="4855" w:type="dxa"/>
            <w:hideMark/>
          </w:tcPr>
          <w:p w14:paraId="6CAA1CCF" w14:textId="77777777"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Stoichiometry factors represent the number of molecules taking part in the reaction, so number of bonds in a single molecule must be multiplied by this coefficient (ref. 2019 #2g)</w:t>
            </w:r>
          </w:p>
        </w:tc>
      </w:tr>
    </w:tbl>
    <w:p w14:paraId="4D1A24ED" w14:textId="77777777" w:rsidR="00067B11" w:rsidRDefault="00067B11" w:rsidP="009B51A3"/>
    <w:p w14:paraId="7F0774DB" w14:textId="77777777" w:rsidR="00067B11" w:rsidRDefault="00067B11" w:rsidP="009B51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150"/>
        <w:gridCol w:w="4495"/>
      </w:tblGrid>
      <w:tr w:rsidR="00067B11" w:rsidRPr="009B51A3" w14:paraId="10955420" w14:textId="77777777" w:rsidTr="00067B11">
        <w:trPr>
          <w:trHeight w:val="20"/>
        </w:trPr>
        <w:tc>
          <w:tcPr>
            <w:tcW w:w="10790" w:type="dxa"/>
            <w:gridSpan w:val="3"/>
          </w:tcPr>
          <w:p w14:paraId="5C1AF0D0" w14:textId="77777777" w:rsidR="00067B11" w:rsidRPr="009B51A3" w:rsidRDefault="00067B11" w:rsidP="00067B11">
            <w:pPr>
              <w:rPr>
                <w:b/>
              </w:rPr>
            </w:pPr>
            <w:r>
              <w:rPr>
                <w:b/>
              </w:rPr>
              <w:lastRenderedPageBreak/>
              <w:t>Unit 6: Equilibrium</w:t>
            </w:r>
          </w:p>
        </w:tc>
      </w:tr>
      <w:tr w:rsidR="00067B11" w:rsidRPr="009B51A3" w14:paraId="589A4639" w14:textId="77777777" w:rsidTr="00067B11">
        <w:trPr>
          <w:trHeight w:val="20"/>
        </w:trPr>
        <w:tc>
          <w:tcPr>
            <w:tcW w:w="3145" w:type="dxa"/>
            <w:shd w:val="clear" w:color="auto" w:fill="BFBFBF" w:themeFill="background1" w:themeFillShade="BF"/>
          </w:tcPr>
          <w:p w14:paraId="4BC90D11" w14:textId="77777777" w:rsidR="00067B11" w:rsidRPr="009B51A3" w:rsidRDefault="00067B11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Write THIS...</w:t>
            </w:r>
          </w:p>
        </w:tc>
        <w:tc>
          <w:tcPr>
            <w:tcW w:w="3150" w:type="dxa"/>
            <w:shd w:val="clear" w:color="auto" w:fill="BFBFBF" w:themeFill="background1" w:themeFillShade="BF"/>
          </w:tcPr>
          <w:p w14:paraId="7B071CEA" w14:textId="77777777" w:rsidR="00067B11" w:rsidRPr="009B51A3" w:rsidRDefault="00067B11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NOT That!</w:t>
            </w:r>
          </w:p>
        </w:tc>
        <w:tc>
          <w:tcPr>
            <w:tcW w:w="4495" w:type="dxa"/>
            <w:shd w:val="clear" w:color="auto" w:fill="BFBFBF" w:themeFill="background1" w:themeFillShade="BF"/>
          </w:tcPr>
          <w:p w14:paraId="5AED31BF" w14:textId="77777777" w:rsidR="00067B11" w:rsidRPr="009B51A3" w:rsidRDefault="00067B11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Rational</w:t>
            </w:r>
          </w:p>
        </w:tc>
      </w:tr>
      <w:tr w:rsidR="00067B11" w:rsidRPr="00067B11" w14:paraId="5CC8FA0C" w14:textId="77777777" w:rsidTr="00067B11">
        <w:trPr>
          <w:trHeight w:val="20"/>
        </w:trPr>
        <w:tc>
          <w:tcPr>
            <w:tcW w:w="3145" w:type="dxa"/>
            <w:hideMark/>
          </w:tcPr>
          <w:p w14:paraId="3184F0BE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Correct formulas (including charges!) for all species in equilibrium expressions</w:t>
            </w:r>
          </w:p>
        </w:tc>
        <w:tc>
          <w:tcPr>
            <w:tcW w:w="3150" w:type="dxa"/>
            <w:hideMark/>
          </w:tcPr>
          <w:p w14:paraId="54148269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Substitutions, abbreviations, chargeless ions, other shorthand that may work out in calculations but does not represent the correct species</w:t>
            </w:r>
          </w:p>
        </w:tc>
        <w:tc>
          <w:tcPr>
            <w:tcW w:w="4495" w:type="dxa"/>
            <w:hideMark/>
          </w:tcPr>
          <w:p w14:paraId="31DBEABC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Equilibrium expressions must be written formally when requested</w:t>
            </w:r>
          </w:p>
        </w:tc>
      </w:tr>
      <w:tr w:rsidR="00067B11" w:rsidRPr="00067B11" w14:paraId="427BDEE7" w14:textId="77777777" w:rsidTr="00067B11">
        <w:trPr>
          <w:trHeight w:val="20"/>
        </w:trPr>
        <w:tc>
          <w:tcPr>
            <w:tcW w:w="3145" w:type="dxa"/>
            <w:hideMark/>
          </w:tcPr>
          <w:p w14:paraId="252D90B4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 xml:space="preserve">In </w:t>
            </w:r>
            <w:proofErr w:type="spellStart"/>
            <w:r w:rsidRPr="00067B11">
              <w:rPr>
                <w:sz w:val="18"/>
                <w:szCs w:val="18"/>
              </w:rPr>
              <w:t>K</w:t>
            </w:r>
            <w:r w:rsidRPr="00067B11">
              <w:rPr>
                <w:sz w:val="18"/>
                <w:szCs w:val="18"/>
                <w:vertAlign w:val="subscript"/>
              </w:rPr>
              <w:t>p</w:t>
            </w:r>
            <w:proofErr w:type="spellEnd"/>
            <w:r w:rsidRPr="00067B11">
              <w:rPr>
                <w:sz w:val="18"/>
                <w:szCs w:val="18"/>
              </w:rPr>
              <w:t xml:space="preserve"> expressions:  </w:t>
            </w:r>
            <w:proofErr w:type="spellStart"/>
            <w:r w:rsidRPr="00067B11">
              <w:rPr>
                <w:sz w:val="18"/>
                <w:szCs w:val="18"/>
              </w:rPr>
              <w:t>P</w:t>
            </w:r>
            <w:r w:rsidRPr="00067B11">
              <w:rPr>
                <w:sz w:val="18"/>
                <w:szCs w:val="18"/>
                <w:vertAlign w:val="subscript"/>
              </w:rPr>
              <w:t>species</w:t>
            </w:r>
            <w:proofErr w:type="spellEnd"/>
          </w:p>
        </w:tc>
        <w:tc>
          <w:tcPr>
            <w:tcW w:w="3150" w:type="dxa"/>
            <w:hideMark/>
          </w:tcPr>
          <w:p w14:paraId="601503E8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 xml:space="preserve">In </w:t>
            </w:r>
            <w:proofErr w:type="spellStart"/>
            <w:r w:rsidRPr="00067B11">
              <w:rPr>
                <w:sz w:val="18"/>
                <w:szCs w:val="18"/>
              </w:rPr>
              <w:t>K</w:t>
            </w:r>
            <w:r w:rsidRPr="00067B11">
              <w:rPr>
                <w:sz w:val="18"/>
                <w:szCs w:val="18"/>
                <w:vertAlign w:val="subscript"/>
              </w:rPr>
              <w:t>p</w:t>
            </w:r>
            <w:proofErr w:type="spellEnd"/>
            <w:r w:rsidRPr="00067B11">
              <w:rPr>
                <w:sz w:val="18"/>
                <w:szCs w:val="18"/>
              </w:rPr>
              <w:t xml:space="preserve"> expressions: [species]  </w:t>
            </w:r>
          </w:p>
        </w:tc>
        <w:tc>
          <w:tcPr>
            <w:tcW w:w="4495" w:type="dxa"/>
            <w:hideMark/>
          </w:tcPr>
          <w:p w14:paraId="2143D62A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 xml:space="preserve">Concentration (which is indicated by brackets around the species) is not used in </w:t>
            </w:r>
            <w:proofErr w:type="spellStart"/>
            <w:r w:rsidRPr="00067B11">
              <w:rPr>
                <w:sz w:val="18"/>
                <w:szCs w:val="18"/>
              </w:rPr>
              <w:t>K</w:t>
            </w:r>
            <w:r w:rsidRPr="00067B11">
              <w:rPr>
                <w:sz w:val="18"/>
                <w:szCs w:val="18"/>
                <w:vertAlign w:val="subscript"/>
              </w:rPr>
              <w:t>p</w:t>
            </w:r>
            <w:proofErr w:type="spellEnd"/>
            <w:r w:rsidRPr="00067B11">
              <w:rPr>
                <w:sz w:val="18"/>
                <w:szCs w:val="18"/>
              </w:rPr>
              <w:t xml:space="preserve"> - partial pressures are</w:t>
            </w:r>
          </w:p>
        </w:tc>
      </w:tr>
      <w:tr w:rsidR="00067B11" w:rsidRPr="00067B11" w14:paraId="1448A872" w14:textId="77777777" w:rsidTr="00067B11">
        <w:trPr>
          <w:trHeight w:val="20"/>
        </w:trPr>
        <w:tc>
          <w:tcPr>
            <w:tcW w:w="3145" w:type="dxa"/>
            <w:hideMark/>
          </w:tcPr>
          <w:p w14:paraId="25230F00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K expressions with EITHER concentration “[ ]” or partial pressures “P”</w:t>
            </w:r>
          </w:p>
        </w:tc>
        <w:tc>
          <w:tcPr>
            <w:tcW w:w="3150" w:type="dxa"/>
            <w:hideMark/>
          </w:tcPr>
          <w:p w14:paraId="4D0326A0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K expressions that include both  concentration “[ ]” and partial pressures “P” in the same expression</w:t>
            </w:r>
          </w:p>
        </w:tc>
        <w:tc>
          <w:tcPr>
            <w:tcW w:w="4495" w:type="dxa"/>
            <w:hideMark/>
          </w:tcPr>
          <w:p w14:paraId="0CEDA7BD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Equilibrium expressions are written for either concentration values or partial pressure values, not both at the same time in a single expression (ref. 2019 #2e)</w:t>
            </w:r>
          </w:p>
        </w:tc>
      </w:tr>
      <w:tr w:rsidR="00067B11" w:rsidRPr="00067B11" w14:paraId="6BF06A77" w14:textId="77777777" w:rsidTr="00067B11">
        <w:trPr>
          <w:trHeight w:val="20"/>
        </w:trPr>
        <w:tc>
          <w:tcPr>
            <w:tcW w:w="3145" w:type="dxa"/>
            <w:hideMark/>
          </w:tcPr>
          <w:p w14:paraId="4272EC63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K without units</w:t>
            </w:r>
          </w:p>
        </w:tc>
        <w:tc>
          <w:tcPr>
            <w:tcW w:w="3150" w:type="dxa"/>
            <w:hideMark/>
          </w:tcPr>
          <w:p w14:paraId="4DE37D09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K with units</w:t>
            </w:r>
          </w:p>
        </w:tc>
        <w:tc>
          <w:tcPr>
            <w:tcW w:w="4495" w:type="dxa"/>
            <w:hideMark/>
          </w:tcPr>
          <w:p w14:paraId="2B40B1C4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K is a unitless constant</w:t>
            </w:r>
          </w:p>
        </w:tc>
      </w:tr>
      <w:tr w:rsidR="00067B11" w:rsidRPr="00067B11" w14:paraId="29D77223" w14:textId="77777777" w:rsidTr="00067B11">
        <w:trPr>
          <w:trHeight w:val="20"/>
        </w:trPr>
        <w:tc>
          <w:tcPr>
            <w:tcW w:w="3145" w:type="dxa"/>
            <w:hideMark/>
          </w:tcPr>
          <w:p w14:paraId="01315544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“K is greater than 1, indicating that the products are present in a higher concentration and therefore equilibrium lies to the right”</w:t>
            </w:r>
          </w:p>
        </w:tc>
        <w:tc>
          <w:tcPr>
            <w:tcW w:w="3150" w:type="dxa"/>
            <w:hideMark/>
          </w:tcPr>
          <w:p w14:paraId="5CA0B2E5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“K is large”</w:t>
            </w:r>
          </w:p>
        </w:tc>
        <w:tc>
          <w:tcPr>
            <w:tcW w:w="4495" w:type="dxa"/>
            <w:hideMark/>
          </w:tcPr>
          <w:p w14:paraId="1BFBE6F1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Use specific values to demonstrate understanding about the meaning of K relative to the equilibrium position (ref. 2017 #2d)</w:t>
            </w:r>
          </w:p>
        </w:tc>
      </w:tr>
      <w:tr w:rsidR="00067B11" w:rsidRPr="00067B11" w14:paraId="16FB3B82" w14:textId="77777777" w:rsidTr="00067B11">
        <w:trPr>
          <w:trHeight w:val="20"/>
        </w:trPr>
        <w:tc>
          <w:tcPr>
            <w:tcW w:w="3145" w:type="dxa"/>
            <w:hideMark/>
          </w:tcPr>
          <w:p w14:paraId="4942603D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“Proceeds”</w:t>
            </w:r>
          </w:p>
        </w:tc>
        <w:tc>
          <w:tcPr>
            <w:tcW w:w="3150" w:type="dxa"/>
            <w:hideMark/>
          </w:tcPr>
          <w:p w14:paraId="1272CE7E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 xml:space="preserve">“Shift” – if equilibrium has not yet been established (i.e. a precipitate has not yet been formed when evaluating </w:t>
            </w:r>
            <w:proofErr w:type="spellStart"/>
            <w:r w:rsidRPr="00067B11">
              <w:rPr>
                <w:sz w:val="18"/>
                <w:szCs w:val="18"/>
              </w:rPr>
              <w:t>K</w:t>
            </w:r>
            <w:r w:rsidRPr="00067B11">
              <w:rPr>
                <w:sz w:val="18"/>
                <w:szCs w:val="18"/>
                <w:vertAlign w:val="subscript"/>
              </w:rPr>
              <w:t>sp</w:t>
            </w:r>
            <w:proofErr w:type="spellEnd"/>
            <w:r w:rsidRPr="00067B11">
              <w:rPr>
                <w:sz w:val="18"/>
                <w:szCs w:val="18"/>
              </w:rPr>
              <w:t>)</w:t>
            </w:r>
          </w:p>
        </w:tc>
        <w:tc>
          <w:tcPr>
            <w:tcW w:w="4495" w:type="dxa"/>
            <w:hideMark/>
          </w:tcPr>
          <w:p w14:paraId="59687271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 xml:space="preserve">If equilibrium is not yet established, then it cannot “shift” – </w:t>
            </w:r>
            <w:proofErr w:type="spellStart"/>
            <w:r w:rsidRPr="00067B11">
              <w:rPr>
                <w:sz w:val="18"/>
                <w:szCs w:val="18"/>
              </w:rPr>
              <w:t>rxn</w:t>
            </w:r>
            <w:proofErr w:type="spellEnd"/>
            <w:r w:rsidRPr="00067B11">
              <w:rPr>
                <w:sz w:val="18"/>
                <w:szCs w:val="18"/>
              </w:rPr>
              <w:t xml:space="preserve"> will proceed in a certain direction until equilibrium is established </w:t>
            </w:r>
          </w:p>
        </w:tc>
      </w:tr>
      <w:tr w:rsidR="00067B11" w:rsidRPr="00067B11" w14:paraId="1DA35646" w14:textId="77777777" w:rsidTr="00067B11">
        <w:trPr>
          <w:trHeight w:val="20"/>
        </w:trPr>
        <w:tc>
          <w:tcPr>
            <w:tcW w:w="3145" w:type="dxa"/>
            <w:hideMark/>
          </w:tcPr>
          <w:p w14:paraId="3F26B7A1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Calculations of K expressions that use concentrations/partial pressures at equilibrium</w:t>
            </w:r>
          </w:p>
        </w:tc>
        <w:tc>
          <w:tcPr>
            <w:tcW w:w="3150" w:type="dxa"/>
            <w:hideMark/>
          </w:tcPr>
          <w:p w14:paraId="4B5F6751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 xml:space="preserve">Calculations of K expressions that use initial concentrations/partial pressures </w:t>
            </w:r>
          </w:p>
        </w:tc>
        <w:tc>
          <w:tcPr>
            <w:tcW w:w="4495" w:type="dxa"/>
            <w:hideMark/>
          </w:tcPr>
          <w:p w14:paraId="260B6160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K values can only be calculated using equilibrium values; if initial values are given, an ICE table (or similar method) should be used to determine equilibrium values before calculating the K value (ref. 2018 #5b)</w:t>
            </w:r>
          </w:p>
        </w:tc>
      </w:tr>
      <w:tr w:rsidR="00067B11" w:rsidRPr="00067B11" w14:paraId="13F560A5" w14:textId="77777777" w:rsidTr="00067B11">
        <w:trPr>
          <w:trHeight w:val="20"/>
        </w:trPr>
        <w:tc>
          <w:tcPr>
            <w:tcW w:w="3145" w:type="dxa"/>
            <w:hideMark/>
          </w:tcPr>
          <w:p w14:paraId="1E319053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Using stoichiometric factors in ICE tables</w:t>
            </w:r>
          </w:p>
        </w:tc>
        <w:tc>
          <w:tcPr>
            <w:tcW w:w="3150" w:type="dxa"/>
            <w:hideMark/>
          </w:tcPr>
          <w:p w14:paraId="6E7A9245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Neglecting stoichiometry when calculating change in equilibrium scenarios</w:t>
            </w:r>
          </w:p>
        </w:tc>
        <w:tc>
          <w:tcPr>
            <w:tcW w:w="4495" w:type="dxa"/>
            <w:hideMark/>
          </w:tcPr>
          <w:p w14:paraId="6F4A6443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Stoichiometry ratios impact how much an initial value is changed during the establishment of equilibrium (ref. 2019 #2f)</w:t>
            </w:r>
          </w:p>
        </w:tc>
      </w:tr>
      <w:tr w:rsidR="00067B11" w:rsidRPr="00067B11" w14:paraId="007449CB" w14:textId="77777777" w:rsidTr="00067B11">
        <w:trPr>
          <w:trHeight w:val="20"/>
        </w:trPr>
        <w:tc>
          <w:tcPr>
            <w:tcW w:w="3145" w:type="dxa"/>
            <w:hideMark/>
          </w:tcPr>
          <w:p w14:paraId="4789489F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“x has been assumed to be so small relative to the original concentrations that it can be ignored”</w:t>
            </w:r>
          </w:p>
        </w:tc>
        <w:tc>
          <w:tcPr>
            <w:tcW w:w="3150" w:type="dxa"/>
            <w:hideMark/>
          </w:tcPr>
          <w:p w14:paraId="78B3DBD1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Nothing about why you ignore x to avoid quadratics</w:t>
            </w:r>
          </w:p>
        </w:tc>
        <w:tc>
          <w:tcPr>
            <w:tcW w:w="4495" w:type="dxa"/>
            <w:hideMark/>
          </w:tcPr>
          <w:p w14:paraId="2704DBE3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Show you understand why you are making the decision</w:t>
            </w:r>
          </w:p>
        </w:tc>
      </w:tr>
      <w:tr w:rsidR="00067B11" w:rsidRPr="00067B11" w14:paraId="340664A0" w14:textId="77777777" w:rsidTr="00067B11">
        <w:trPr>
          <w:trHeight w:val="20"/>
        </w:trPr>
        <w:tc>
          <w:tcPr>
            <w:tcW w:w="3145" w:type="dxa"/>
            <w:hideMark/>
          </w:tcPr>
          <w:p w14:paraId="083F9850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Discussion of Q vs. K</w:t>
            </w:r>
          </w:p>
        </w:tc>
        <w:tc>
          <w:tcPr>
            <w:tcW w:w="3150" w:type="dxa"/>
            <w:hideMark/>
          </w:tcPr>
          <w:p w14:paraId="0AC2E4F2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 xml:space="preserve">“reduce the stress”, or “due to Le </w:t>
            </w:r>
            <w:proofErr w:type="spellStart"/>
            <w:r w:rsidRPr="00067B11">
              <w:rPr>
                <w:sz w:val="18"/>
                <w:szCs w:val="18"/>
              </w:rPr>
              <w:t>Châtelier’s</w:t>
            </w:r>
            <w:proofErr w:type="spellEnd"/>
            <w:r w:rsidRPr="00067B11">
              <w:rPr>
                <w:sz w:val="18"/>
                <w:szCs w:val="18"/>
              </w:rPr>
              <w:t xml:space="preserve"> Principle”</w:t>
            </w:r>
          </w:p>
        </w:tc>
        <w:tc>
          <w:tcPr>
            <w:tcW w:w="4495" w:type="dxa"/>
            <w:hideMark/>
          </w:tcPr>
          <w:p w14:paraId="71D5D983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Preferred AP language-shows a deeper understanding of chemical principals (ref. 2018 #5c)</w:t>
            </w:r>
          </w:p>
        </w:tc>
      </w:tr>
      <w:tr w:rsidR="00067B11" w:rsidRPr="00067B11" w14:paraId="77E32C7D" w14:textId="77777777" w:rsidTr="00067B11">
        <w:trPr>
          <w:trHeight w:val="20"/>
        </w:trPr>
        <w:tc>
          <w:tcPr>
            <w:tcW w:w="3145" w:type="dxa"/>
            <w:hideMark/>
          </w:tcPr>
          <w:p w14:paraId="744F0AE4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r w:rsidRPr="00067B11">
              <w:rPr>
                <w:sz w:val="18"/>
                <w:szCs w:val="18"/>
              </w:rPr>
              <w:t>K</w:t>
            </w:r>
            <w:r w:rsidRPr="00067B11">
              <w:rPr>
                <w:sz w:val="18"/>
                <w:szCs w:val="18"/>
                <w:vertAlign w:val="subscript"/>
              </w:rPr>
              <w:t>sp</w:t>
            </w:r>
            <w:proofErr w:type="spellEnd"/>
            <w:r w:rsidRPr="00067B11">
              <w:rPr>
                <w:sz w:val="18"/>
                <w:szCs w:val="18"/>
              </w:rPr>
              <w:t xml:space="preserve"> expressions that only contain the ions </w:t>
            </w:r>
          </w:p>
        </w:tc>
        <w:tc>
          <w:tcPr>
            <w:tcW w:w="3150" w:type="dxa"/>
            <w:hideMark/>
          </w:tcPr>
          <w:p w14:paraId="1761B295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r w:rsidRPr="00067B11">
              <w:rPr>
                <w:sz w:val="18"/>
                <w:szCs w:val="18"/>
              </w:rPr>
              <w:t>K</w:t>
            </w:r>
            <w:r w:rsidRPr="00067B11">
              <w:rPr>
                <w:sz w:val="18"/>
                <w:szCs w:val="18"/>
                <w:vertAlign w:val="subscript"/>
              </w:rPr>
              <w:t>sp</w:t>
            </w:r>
            <w:proofErr w:type="spellEnd"/>
            <w:r w:rsidRPr="00067B11">
              <w:rPr>
                <w:sz w:val="18"/>
                <w:szCs w:val="18"/>
              </w:rPr>
              <w:t xml:space="preserve"> expressions that contain or imply a species in the denominator</w:t>
            </w:r>
          </w:p>
        </w:tc>
        <w:tc>
          <w:tcPr>
            <w:tcW w:w="4495" w:type="dxa"/>
            <w:hideMark/>
          </w:tcPr>
          <w:p w14:paraId="1A0CCB62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Solids and liquids are not included in equilibrium expressions</w:t>
            </w:r>
          </w:p>
        </w:tc>
      </w:tr>
    </w:tbl>
    <w:p w14:paraId="612EB8F6" w14:textId="77777777" w:rsidR="00067B11" w:rsidRDefault="00067B11" w:rsidP="009B51A3"/>
    <w:p w14:paraId="587A9174" w14:textId="77777777" w:rsidR="00067B11" w:rsidRDefault="00067B11" w:rsidP="009B51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060"/>
        <w:gridCol w:w="4135"/>
      </w:tblGrid>
      <w:tr w:rsidR="00067B11" w:rsidRPr="009B51A3" w14:paraId="17948736" w14:textId="77777777" w:rsidTr="00067B11">
        <w:trPr>
          <w:trHeight w:val="20"/>
        </w:trPr>
        <w:tc>
          <w:tcPr>
            <w:tcW w:w="10790" w:type="dxa"/>
            <w:gridSpan w:val="3"/>
          </w:tcPr>
          <w:p w14:paraId="712AF20B" w14:textId="77777777" w:rsidR="00067B11" w:rsidRPr="009B51A3" w:rsidRDefault="00067B11" w:rsidP="00067B11">
            <w:pPr>
              <w:rPr>
                <w:b/>
              </w:rPr>
            </w:pPr>
            <w:r>
              <w:rPr>
                <w:b/>
              </w:rPr>
              <w:t>Unit 8: Acid Base</w:t>
            </w:r>
          </w:p>
        </w:tc>
      </w:tr>
      <w:tr w:rsidR="00067B11" w:rsidRPr="009B51A3" w14:paraId="7669E954" w14:textId="77777777" w:rsidTr="00067B11">
        <w:trPr>
          <w:trHeight w:val="20"/>
        </w:trPr>
        <w:tc>
          <w:tcPr>
            <w:tcW w:w="3595" w:type="dxa"/>
            <w:shd w:val="clear" w:color="auto" w:fill="BFBFBF" w:themeFill="background1" w:themeFillShade="BF"/>
          </w:tcPr>
          <w:p w14:paraId="3813D5CB" w14:textId="77777777" w:rsidR="00067B11" w:rsidRPr="009B51A3" w:rsidRDefault="00067B11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Write THIS...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14:paraId="6BFDA8E8" w14:textId="77777777" w:rsidR="00067B11" w:rsidRPr="009B51A3" w:rsidRDefault="00067B11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NOT That!</w:t>
            </w:r>
          </w:p>
        </w:tc>
        <w:tc>
          <w:tcPr>
            <w:tcW w:w="4135" w:type="dxa"/>
            <w:shd w:val="clear" w:color="auto" w:fill="BFBFBF" w:themeFill="background1" w:themeFillShade="BF"/>
          </w:tcPr>
          <w:p w14:paraId="7D45B627" w14:textId="77777777" w:rsidR="00067B11" w:rsidRPr="009B51A3" w:rsidRDefault="00067B11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Rational</w:t>
            </w:r>
          </w:p>
        </w:tc>
      </w:tr>
      <w:tr w:rsidR="00067B11" w:rsidRPr="00067B11" w14:paraId="42970325" w14:textId="77777777" w:rsidTr="00067B11">
        <w:trPr>
          <w:trHeight w:val="20"/>
        </w:trPr>
        <w:tc>
          <w:tcPr>
            <w:tcW w:w="3595" w:type="dxa"/>
            <w:hideMark/>
          </w:tcPr>
          <w:p w14:paraId="582942C3" w14:textId="77777777"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“The solution is neutral when [H</w:t>
            </w:r>
            <w:r w:rsidRPr="00067B11">
              <w:rPr>
                <w:sz w:val="18"/>
                <w:szCs w:val="18"/>
                <w:vertAlign w:val="subscript"/>
              </w:rPr>
              <w:t>3</w:t>
            </w:r>
            <w:r w:rsidRPr="00067B11">
              <w:rPr>
                <w:sz w:val="18"/>
                <w:szCs w:val="18"/>
              </w:rPr>
              <w:t>O</w:t>
            </w:r>
            <w:r w:rsidRPr="00067B11">
              <w:rPr>
                <w:sz w:val="18"/>
                <w:szCs w:val="18"/>
                <w:vertAlign w:val="superscript"/>
              </w:rPr>
              <w:t>+</w:t>
            </w:r>
            <w:r w:rsidRPr="00067B11">
              <w:rPr>
                <w:sz w:val="18"/>
                <w:szCs w:val="18"/>
              </w:rPr>
              <w:t>] = [OH</w:t>
            </w:r>
            <w:r w:rsidRPr="00067B11">
              <w:rPr>
                <w:sz w:val="18"/>
                <w:szCs w:val="18"/>
                <w:vertAlign w:val="superscript"/>
              </w:rPr>
              <w:t>-</w:t>
            </w:r>
            <w:r w:rsidRPr="00067B11">
              <w:rPr>
                <w:sz w:val="18"/>
                <w:szCs w:val="18"/>
              </w:rPr>
              <w:t>].”</w:t>
            </w:r>
          </w:p>
        </w:tc>
        <w:tc>
          <w:tcPr>
            <w:tcW w:w="3060" w:type="dxa"/>
            <w:hideMark/>
          </w:tcPr>
          <w:p w14:paraId="41F3076F" w14:textId="77777777"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bCs/>
                <w:sz w:val="18"/>
                <w:szCs w:val="18"/>
              </w:rPr>
              <w:t>“The solution is neutral when pH=7.”</w:t>
            </w:r>
          </w:p>
        </w:tc>
        <w:tc>
          <w:tcPr>
            <w:tcW w:w="4135" w:type="dxa"/>
            <w:hideMark/>
          </w:tcPr>
          <w:p w14:paraId="237109F0" w14:textId="77777777"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bCs/>
                <w:sz w:val="18"/>
                <w:szCs w:val="18"/>
              </w:rPr>
              <w:t>True definition of neutral – neutral is only pH of 7 when K</w:t>
            </w:r>
            <w:r w:rsidRPr="00067B11">
              <w:rPr>
                <w:bCs/>
                <w:sz w:val="18"/>
                <w:szCs w:val="18"/>
                <w:vertAlign w:val="subscript"/>
              </w:rPr>
              <w:t>w</w:t>
            </w:r>
            <w:r w:rsidRPr="00067B11">
              <w:rPr>
                <w:bCs/>
                <w:sz w:val="18"/>
                <w:szCs w:val="18"/>
              </w:rPr>
              <w:t xml:space="preserve"> = 1.0 x 10</w:t>
            </w:r>
            <w:r w:rsidRPr="00067B11">
              <w:rPr>
                <w:bCs/>
                <w:sz w:val="18"/>
                <w:szCs w:val="18"/>
                <w:vertAlign w:val="superscript"/>
              </w:rPr>
              <w:t>-14</w:t>
            </w:r>
            <w:r w:rsidRPr="00067B11">
              <w:rPr>
                <w:bCs/>
                <w:sz w:val="18"/>
                <w:szCs w:val="18"/>
                <w:vertAlign w:val="subscript"/>
              </w:rPr>
              <w:t xml:space="preserve"> </w:t>
            </w:r>
            <w:r w:rsidRPr="00067B11">
              <w:rPr>
                <w:bCs/>
                <w:sz w:val="18"/>
                <w:szCs w:val="18"/>
              </w:rPr>
              <w:t>(at 298 K)</w:t>
            </w:r>
          </w:p>
        </w:tc>
      </w:tr>
      <w:tr w:rsidR="00067B11" w:rsidRPr="00067B11" w14:paraId="2D961A6D" w14:textId="77777777" w:rsidTr="00067B11">
        <w:trPr>
          <w:trHeight w:val="20"/>
        </w:trPr>
        <w:tc>
          <w:tcPr>
            <w:tcW w:w="3595" w:type="dxa"/>
            <w:hideMark/>
          </w:tcPr>
          <w:p w14:paraId="36607CCE" w14:textId="77777777"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“The pH &gt; 7 because the salt produced in the neutralization  behaves as a base: A</w:t>
            </w:r>
            <w:r w:rsidRPr="00067B11">
              <w:rPr>
                <w:sz w:val="18"/>
                <w:szCs w:val="18"/>
                <w:vertAlign w:val="superscript"/>
              </w:rPr>
              <w:t>-</w:t>
            </w:r>
            <w:r w:rsidRPr="00067B11">
              <w:rPr>
                <w:sz w:val="18"/>
                <w:szCs w:val="18"/>
              </w:rPr>
              <w:t xml:space="preserve"> + H</w:t>
            </w:r>
            <w:r w:rsidRPr="00067B11">
              <w:rPr>
                <w:sz w:val="18"/>
                <w:szCs w:val="18"/>
                <w:vertAlign w:val="subscript"/>
              </w:rPr>
              <w:t>2</w:t>
            </w:r>
            <w:r w:rsidRPr="00067B11">
              <w:rPr>
                <w:sz w:val="18"/>
                <w:szCs w:val="18"/>
              </w:rPr>
              <w:t>O  HA + OH</w:t>
            </w:r>
            <w:r w:rsidRPr="00067B11">
              <w:rPr>
                <w:sz w:val="18"/>
                <w:szCs w:val="18"/>
                <w:vertAlign w:val="superscript"/>
              </w:rPr>
              <w:t xml:space="preserve">- </w:t>
            </w:r>
            <w:r w:rsidRPr="00067B11">
              <w:rPr>
                <w:sz w:val="18"/>
                <w:szCs w:val="18"/>
              </w:rPr>
              <w:t>”</w:t>
            </w:r>
          </w:p>
        </w:tc>
        <w:tc>
          <w:tcPr>
            <w:tcW w:w="3060" w:type="dxa"/>
            <w:hideMark/>
          </w:tcPr>
          <w:p w14:paraId="2EA0C6ED" w14:textId="77777777"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“The pH &gt; 7 because it’s a battle between weak acid and strong base and strong base wins.”</w:t>
            </w:r>
          </w:p>
        </w:tc>
        <w:tc>
          <w:tcPr>
            <w:tcW w:w="4135" w:type="dxa"/>
            <w:hideMark/>
          </w:tcPr>
          <w:p w14:paraId="68FC2EA3" w14:textId="77777777"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State the actual reason not the memory aid</w:t>
            </w:r>
          </w:p>
        </w:tc>
      </w:tr>
      <w:tr w:rsidR="00067B11" w:rsidRPr="00067B11" w14:paraId="4FA531A5" w14:textId="77777777" w:rsidTr="00067B11">
        <w:trPr>
          <w:trHeight w:val="20"/>
        </w:trPr>
        <w:tc>
          <w:tcPr>
            <w:tcW w:w="3595" w:type="dxa"/>
            <w:hideMark/>
          </w:tcPr>
          <w:p w14:paraId="7280A10F" w14:textId="77777777"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HCl, HBr, HI, HClO</w:t>
            </w:r>
            <w:r w:rsidRPr="00067B11">
              <w:rPr>
                <w:sz w:val="18"/>
                <w:szCs w:val="18"/>
                <w:vertAlign w:val="subscript"/>
              </w:rPr>
              <w:t>4</w:t>
            </w:r>
            <w:r w:rsidRPr="00067B11">
              <w:rPr>
                <w:sz w:val="18"/>
                <w:szCs w:val="18"/>
              </w:rPr>
              <w:t>, HNO</w:t>
            </w:r>
            <w:r w:rsidRPr="00067B11">
              <w:rPr>
                <w:sz w:val="18"/>
                <w:szCs w:val="18"/>
                <w:vertAlign w:val="subscript"/>
              </w:rPr>
              <w:t>3</w:t>
            </w:r>
            <w:r w:rsidRPr="00067B11">
              <w:rPr>
                <w:sz w:val="18"/>
                <w:szCs w:val="18"/>
              </w:rPr>
              <w:t xml:space="preserve"> as strong acids</w:t>
            </w:r>
          </w:p>
        </w:tc>
        <w:tc>
          <w:tcPr>
            <w:tcW w:w="3060" w:type="dxa"/>
            <w:hideMark/>
          </w:tcPr>
          <w:p w14:paraId="4BAFB801" w14:textId="77777777"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Any other acid as strong</w:t>
            </w:r>
          </w:p>
        </w:tc>
        <w:tc>
          <w:tcPr>
            <w:tcW w:w="4135" w:type="dxa"/>
            <w:hideMark/>
          </w:tcPr>
          <w:p w14:paraId="2F32EC6F" w14:textId="77777777"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These are the strong acids listed in the Course and Exam Description</w:t>
            </w:r>
          </w:p>
        </w:tc>
      </w:tr>
      <w:tr w:rsidR="00067B11" w:rsidRPr="00067B11" w14:paraId="6966DDE2" w14:textId="77777777" w:rsidTr="00067B11">
        <w:trPr>
          <w:trHeight w:val="20"/>
        </w:trPr>
        <w:tc>
          <w:tcPr>
            <w:tcW w:w="3595" w:type="dxa"/>
            <w:hideMark/>
          </w:tcPr>
          <w:p w14:paraId="0F6E602F" w14:textId="77777777"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K</w:t>
            </w:r>
            <w:r w:rsidRPr="00067B11">
              <w:rPr>
                <w:sz w:val="18"/>
                <w:szCs w:val="18"/>
                <w:vertAlign w:val="subscript"/>
              </w:rPr>
              <w:t>w</w:t>
            </w:r>
            <w:r w:rsidRPr="00067B11">
              <w:rPr>
                <w:sz w:val="18"/>
                <w:szCs w:val="18"/>
              </w:rPr>
              <w:t xml:space="preserve"> = K</w:t>
            </w:r>
            <w:r w:rsidRPr="00067B11">
              <w:rPr>
                <w:sz w:val="18"/>
                <w:szCs w:val="18"/>
                <w:vertAlign w:val="subscript"/>
              </w:rPr>
              <w:t>a</w:t>
            </w:r>
            <w:r w:rsidRPr="00067B11">
              <w:rPr>
                <w:sz w:val="18"/>
                <w:szCs w:val="18"/>
              </w:rPr>
              <w:t xml:space="preserve"> x </w:t>
            </w:r>
            <w:proofErr w:type="spellStart"/>
            <w:r w:rsidRPr="00067B11">
              <w:rPr>
                <w:sz w:val="18"/>
                <w:szCs w:val="18"/>
              </w:rPr>
              <w:t>K</w:t>
            </w:r>
            <w:r w:rsidRPr="00067B11">
              <w:rPr>
                <w:sz w:val="18"/>
                <w:szCs w:val="18"/>
                <w:vertAlign w:val="subscript"/>
              </w:rPr>
              <w:t>b</w:t>
            </w:r>
            <w:proofErr w:type="spellEnd"/>
            <w:r w:rsidRPr="00067B11">
              <w:rPr>
                <w:sz w:val="18"/>
                <w:szCs w:val="18"/>
              </w:rPr>
              <w:t xml:space="preserve"> for a conjugate pair</w:t>
            </w:r>
          </w:p>
        </w:tc>
        <w:tc>
          <w:tcPr>
            <w:tcW w:w="3060" w:type="dxa"/>
            <w:hideMark/>
          </w:tcPr>
          <w:p w14:paraId="186CAB5E" w14:textId="77777777"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K</w:t>
            </w:r>
            <w:r w:rsidRPr="00067B11">
              <w:rPr>
                <w:sz w:val="18"/>
                <w:szCs w:val="18"/>
                <w:vertAlign w:val="subscript"/>
              </w:rPr>
              <w:t>w</w:t>
            </w:r>
            <w:r w:rsidRPr="00067B11">
              <w:rPr>
                <w:sz w:val="18"/>
                <w:szCs w:val="18"/>
              </w:rPr>
              <w:t xml:space="preserve"> = K</w:t>
            </w:r>
            <w:r w:rsidRPr="00067B11">
              <w:rPr>
                <w:sz w:val="18"/>
                <w:szCs w:val="18"/>
                <w:vertAlign w:val="subscript"/>
              </w:rPr>
              <w:t>a</w:t>
            </w:r>
            <w:r w:rsidRPr="00067B11">
              <w:rPr>
                <w:sz w:val="18"/>
                <w:szCs w:val="18"/>
              </w:rPr>
              <w:t xml:space="preserve"> x </w:t>
            </w:r>
            <w:proofErr w:type="spellStart"/>
            <w:r w:rsidRPr="00067B11">
              <w:rPr>
                <w:sz w:val="18"/>
                <w:szCs w:val="18"/>
              </w:rPr>
              <w:t>K</w:t>
            </w:r>
            <w:r w:rsidRPr="00067B11">
              <w:rPr>
                <w:sz w:val="18"/>
                <w:szCs w:val="18"/>
                <w:vertAlign w:val="subscript"/>
              </w:rPr>
              <w:t>b</w:t>
            </w:r>
            <w:proofErr w:type="spellEnd"/>
            <w:r w:rsidRPr="00067B11">
              <w:rPr>
                <w:sz w:val="18"/>
                <w:szCs w:val="18"/>
              </w:rPr>
              <w:t xml:space="preserve"> for an unrelated acid/base pair</w:t>
            </w:r>
          </w:p>
        </w:tc>
        <w:tc>
          <w:tcPr>
            <w:tcW w:w="4135" w:type="dxa"/>
            <w:hideMark/>
          </w:tcPr>
          <w:p w14:paraId="1BF6E2C8" w14:textId="77777777"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This equation only holds true for conjugate acid-base pairs</w:t>
            </w:r>
          </w:p>
        </w:tc>
      </w:tr>
      <w:tr w:rsidR="00067B11" w:rsidRPr="00067B11" w14:paraId="415E6E6E" w14:textId="77777777" w:rsidTr="00067B11">
        <w:trPr>
          <w:trHeight w:val="20"/>
        </w:trPr>
        <w:tc>
          <w:tcPr>
            <w:tcW w:w="3595" w:type="dxa"/>
            <w:hideMark/>
          </w:tcPr>
          <w:p w14:paraId="2A5B0F07" w14:textId="77777777"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A buffer system containing a weak acid and its conjugate base (or a weak base and its conjugate acid)</w:t>
            </w:r>
          </w:p>
        </w:tc>
        <w:tc>
          <w:tcPr>
            <w:tcW w:w="3060" w:type="dxa"/>
            <w:hideMark/>
          </w:tcPr>
          <w:p w14:paraId="025C56EA" w14:textId="77777777"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A buffer system that contains a strong acid or base; a buffer containing any acid/base with a common ion</w:t>
            </w:r>
          </w:p>
        </w:tc>
        <w:tc>
          <w:tcPr>
            <w:tcW w:w="4135" w:type="dxa"/>
            <w:hideMark/>
          </w:tcPr>
          <w:p w14:paraId="2B7EFA8B" w14:textId="77777777"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A buffer results from the presence of a weak acid or base and its conjugate; a strong-strong system will neutralize without buffering</w:t>
            </w:r>
          </w:p>
        </w:tc>
      </w:tr>
      <w:tr w:rsidR="00067B11" w:rsidRPr="00067B11" w14:paraId="578B3D42" w14:textId="77777777" w:rsidTr="00067B11">
        <w:trPr>
          <w:trHeight w:val="20"/>
        </w:trPr>
        <w:tc>
          <w:tcPr>
            <w:tcW w:w="3595" w:type="dxa"/>
            <w:hideMark/>
          </w:tcPr>
          <w:p w14:paraId="5EBF4AD3" w14:textId="77777777"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“This buffer has a higher buffering capacity because it contains a higher concentration of weak acid/base and its conjugate to react with added H</w:t>
            </w:r>
            <w:r w:rsidRPr="00067B11">
              <w:rPr>
                <w:sz w:val="18"/>
                <w:szCs w:val="18"/>
                <w:vertAlign w:val="superscript"/>
              </w:rPr>
              <w:t>+</w:t>
            </w:r>
            <w:r w:rsidRPr="00067B11">
              <w:rPr>
                <w:sz w:val="18"/>
                <w:szCs w:val="18"/>
              </w:rPr>
              <w:t xml:space="preserve"> or OH</w:t>
            </w:r>
            <w:r w:rsidRPr="00067B11">
              <w:rPr>
                <w:sz w:val="18"/>
                <w:szCs w:val="18"/>
                <w:vertAlign w:val="superscript"/>
              </w:rPr>
              <w:t>-</w:t>
            </w:r>
            <w:r w:rsidRPr="00067B11">
              <w:rPr>
                <w:sz w:val="18"/>
                <w:szCs w:val="18"/>
              </w:rPr>
              <w:t xml:space="preserve"> ions.”</w:t>
            </w:r>
          </w:p>
        </w:tc>
        <w:tc>
          <w:tcPr>
            <w:tcW w:w="3060" w:type="dxa"/>
            <w:hideMark/>
          </w:tcPr>
          <w:p w14:paraId="6BA66AD3" w14:textId="77777777"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“Higher volume of weak acid/base”</w:t>
            </w:r>
          </w:p>
        </w:tc>
        <w:tc>
          <w:tcPr>
            <w:tcW w:w="4135" w:type="dxa"/>
            <w:hideMark/>
          </w:tcPr>
          <w:p w14:paraId="6A5D0940" w14:textId="77777777"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Buffering capacity is related to the presence of both the weak species and its conjugate.</w:t>
            </w:r>
          </w:p>
          <w:p w14:paraId="0E38CBF9" w14:textId="77777777"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 </w:t>
            </w:r>
          </w:p>
          <w:p w14:paraId="33F5BC44" w14:textId="77777777"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 </w:t>
            </w:r>
          </w:p>
          <w:p w14:paraId="75444801" w14:textId="77777777"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 </w:t>
            </w:r>
          </w:p>
        </w:tc>
      </w:tr>
      <w:tr w:rsidR="00067B11" w:rsidRPr="00067B11" w14:paraId="5D2973D6" w14:textId="77777777" w:rsidTr="00067B11">
        <w:trPr>
          <w:trHeight w:val="20"/>
        </w:trPr>
        <w:tc>
          <w:tcPr>
            <w:tcW w:w="3595" w:type="dxa"/>
            <w:hideMark/>
          </w:tcPr>
          <w:p w14:paraId="13B9E03A" w14:textId="77777777"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 xml:space="preserve">Identifying a salt as making a good choice for a specified buffer because the </w:t>
            </w:r>
            <w:proofErr w:type="spellStart"/>
            <w:r w:rsidRPr="00067B11">
              <w:rPr>
                <w:sz w:val="18"/>
                <w:szCs w:val="18"/>
              </w:rPr>
              <w:t>pK</w:t>
            </w:r>
            <w:r w:rsidRPr="00067B11">
              <w:rPr>
                <w:sz w:val="18"/>
                <w:szCs w:val="18"/>
                <w:vertAlign w:val="subscript"/>
              </w:rPr>
              <w:t>a</w:t>
            </w:r>
            <w:proofErr w:type="spellEnd"/>
            <w:r w:rsidRPr="00067B11">
              <w:rPr>
                <w:sz w:val="18"/>
                <w:szCs w:val="18"/>
              </w:rPr>
              <w:t xml:space="preserve"> is close to the desired pH for the buffer.</w:t>
            </w:r>
          </w:p>
        </w:tc>
        <w:tc>
          <w:tcPr>
            <w:tcW w:w="3060" w:type="dxa"/>
            <w:hideMark/>
          </w:tcPr>
          <w:p w14:paraId="5CDBBCFA" w14:textId="77777777"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 xml:space="preserve">Identifying a salt as making a good choice for a specified buffer because the </w:t>
            </w:r>
            <w:proofErr w:type="spellStart"/>
            <w:r w:rsidRPr="00067B11">
              <w:rPr>
                <w:sz w:val="18"/>
                <w:szCs w:val="18"/>
              </w:rPr>
              <w:t>pK</w:t>
            </w:r>
            <w:r w:rsidRPr="00067B11">
              <w:rPr>
                <w:sz w:val="18"/>
                <w:szCs w:val="18"/>
                <w:vertAlign w:val="subscript"/>
              </w:rPr>
              <w:t>b</w:t>
            </w:r>
            <w:proofErr w:type="spellEnd"/>
            <w:r w:rsidRPr="00067B11">
              <w:rPr>
                <w:sz w:val="18"/>
                <w:szCs w:val="18"/>
              </w:rPr>
              <w:t xml:space="preserve"> is close to the desired pH for the buffer. </w:t>
            </w:r>
          </w:p>
        </w:tc>
        <w:tc>
          <w:tcPr>
            <w:tcW w:w="4135" w:type="dxa"/>
            <w:hideMark/>
          </w:tcPr>
          <w:p w14:paraId="74EDAD97" w14:textId="77777777"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 xml:space="preserve">An effective buffer is one in which is </w:t>
            </w:r>
            <w:proofErr w:type="spellStart"/>
            <w:r w:rsidRPr="00067B11">
              <w:rPr>
                <w:sz w:val="18"/>
                <w:szCs w:val="18"/>
              </w:rPr>
              <w:t>pKa</w:t>
            </w:r>
            <w:proofErr w:type="spellEnd"/>
            <w:r w:rsidRPr="00067B11">
              <w:rPr>
                <w:sz w:val="18"/>
                <w:szCs w:val="18"/>
              </w:rPr>
              <w:t xml:space="preserve"> of the weak acid is approximately equal to the target </w:t>
            </w:r>
            <w:proofErr w:type="spellStart"/>
            <w:r w:rsidRPr="00067B11">
              <w:rPr>
                <w:sz w:val="18"/>
                <w:szCs w:val="18"/>
              </w:rPr>
              <w:t>pH.</w:t>
            </w:r>
            <w:proofErr w:type="spellEnd"/>
            <w:r w:rsidRPr="00067B11">
              <w:rPr>
                <w:sz w:val="18"/>
                <w:szCs w:val="18"/>
              </w:rPr>
              <w:t xml:space="preserve"> (ref. 2019 #3h)</w:t>
            </w:r>
          </w:p>
        </w:tc>
      </w:tr>
    </w:tbl>
    <w:p w14:paraId="1A4DCDDC" w14:textId="77777777" w:rsidR="00067B11" w:rsidRPr="00067B11" w:rsidRDefault="00067B11" w:rsidP="00067B11">
      <w:pPr>
        <w:spacing w:after="0"/>
        <w:rPr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240"/>
        <w:gridCol w:w="4315"/>
      </w:tblGrid>
      <w:tr w:rsidR="00067B11" w:rsidRPr="009B51A3" w14:paraId="4BF75510" w14:textId="77777777" w:rsidTr="00067B11">
        <w:trPr>
          <w:trHeight w:val="20"/>
        </w:trPr>
        <w:tc>
          <w:tcPr>
            <w:tcW w:w="10790" w:type="dxa"/>
            <w:gridSpan w:val="3"/>
          </w:tcPr>
          <w:p w14:paraId="35DF20BA" w14:textId="77777777" w:rsidR="00067B11" w:rsidRPr="009B51A3" w:rsidRDefault="00067B11" w:rsidP="00067B11">
            <w:pPr>
              <w:rPr>
                <w:b/>
              </w:rPr>
            </w:pPr>
            <w:r>
              <w:rPr>
                <w:b/>
              </w:rPr>
              <w:lastRenderedPageBreak/>
              <w:t>Unit 9: Applications of Thermodynamics</w:t>
            </w:r>
          </w:p>
        </w:tc>
      </w:tr>
      <w:tr w:rsidR="00067B11" w:rsidRPr="009B51A3" w14:paraId="636CC104" w14:textId="77777777" w:rsidTr="001C731C">
        <w:trPr>
          <w:trHeight w:val="20"/>
        </w:trPr>
        <w:tc>
          <w:tcPr>
            <w:tcW w:w="3235" w:type="dxa"/>
            <w:shd w:val="clear" w:color="auto" w:fill="BFBFBF" w:themeFill="background1" w:themeFillShade="BF"/>
          </w:tcPr>
          <w:p w14:paraId="6A872A51" w14:textId="77777777" w:rsidR="00067B11" w:rsidRPr="009B51A3" w:rsidRDefault="00067B11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Write THIS...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5E6F47A8" w14:textId="77777777" w:rsidR="00067B11" w:rsidRPr="009B51A3" w:rsidRDefault="00067B11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NOT That!</w:t>
            </w:r>
          </w:p>
        </w:tc>
        <w:tc>
          <w:tcPr>
            <w:tcW w:w="4315" w:type="dxa"/>
            <w:shd w:val="clear" w:color="auto" w:fill="BFBFBF" w:themeFill="background1" w:themeFillShade="BF"/>
          </w:tcPr>
          <w:p w14:paraId="6E1CD6E3" w14:textId="77777777" w:rsidR="00067B11" w:rsidRPr="009B51A3" w:rsidRDefault="00067B11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Rational</w:t>
            </w:r>
          </w:p>
        </w:tc>
      </w:tr>
      <w:tr w:rsidR="00067B11" w:rsidRPr="00067B11" w14:paraId="32CBD764" w14:textId="77777777" w:rsidTr="001C731C">
        <w:trPr>
          <w:trHeight w:val="20"/>
        </w:trPr>
        <w:tc>
          <w:tcPr>
            <w:tcW w:w="3235" w:type="dxa"/>
            <w:hideMark/>
          </w:tcPr>
          <w:p w14:paraId="5E35AEB6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Reference number of molecules and phases when justifying a change in ΔS based on a reaction</w:t>
            </w:r>
          </w:p>
        </w:tc>
        <w:tc>
          <w:tcPr>
            <w:tcW w:w="3240" w:type="dxa"/>
            <w:hideMark/>
          </w:tcPr>
          <w:p w14:paraId="4C7C6A69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bCs/>
                <w:sz w:val="18"/>
                <w:szCs w:val="18"/>
              </w:rPr>
              <w:t>Making vague references to “similar structures” or no justification</w:t>
            </w:r>
          </w:p>
        </w:tc>
        <w:tc>
          <w:tcPr>
            <w:tcW w:w="4315" w:type="dxa"/>
            <w:hideMark/>
          </w:tcPr>
          <w:p w14:paraId="5C0B265E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bCs/>
                <w:sz w:val="18"/>
                <w:szCs w:val="18"/>
              </w:rPr>
              <w:t>An increase in  ΔS is due to an increase in number of gaseous products (ref. 2017 #2c)</w:t>
            </w:r>
          </w:p>
        </w:tc>
      </w:tr>
      <w:tr w:rsidR="00067B11" w:rsidRPr="00067B11" w14:paraId="4F386756" w14:textId="77777777" w:rsidTr="001C731C">
        <w:trPr>
          <w:trHeight w:val="20"/>
        </w:trPr>
        <w:tc>
          <w:tcPr>
            <w:tcW w:w="3235" w:type="dxa"/>
            <w:hideMark/>
          </w:tcPr>
          <w:p w14:paraId="5112D8BD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bCs/>
                <w:sz w:val="18"/>
                <w:szCs w:val="18"/>
              </w:rPr>
              <w:t>Justify thermodynamic favorability in terms of both enthalpy and entropy</w:t>
            </w:r>
          </w:p>
        </w:tc>
        <w:tc>
          <w:tcPr>
            <w:tcW w:w="3240" w:type="dxa"/>
            <w:hideMark/>
          </w:tcPr>
          <w:p w14:paraId="5B11BA74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A thermodynamic favorability discussion referencing only enthalpy or entropy</w:t>
            </w:r>
          </w:p>
        </w:tc>
        <w:tc>
          <w:tcPr>
            <w:tcW w:w="4315" w:type="dxa"/>
            <w:hideMark/>
          </w:tcPr>
          <w:p w14:paraId="522ACE47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Thermodynamic favorability depends on both ΔH and ΔS</w:t>
            </w:r>
          </w:p>
        </w:tc>
      </w:tr>
      <w:tr w:rsidR="00067B11" w:rsidRPr="00067B11" w14:paraId="3B740614" w14:textId="77777777" w:rsidTr="001C731C">
        <w:trPr>
          <w:trHeight w:val="20"/>
        </w:trPr>
        <w:tc>
          <w:tcPr>
            <w:tcW w:w="3235" w:type="dxa"/>
            <w:hideMark/>
          </w:tcPr>
          <w:p w14:paraId="41E13D83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bCs/>
                <w:sz w:val="18"/>
                <w:szCs w:val="18"/>
              </w:rPr>
              <w:t>Arrangement/Dispersions of matter or energy along with particle-level reasoning for explaining the sign of ΔS</w:t>
            </w:r>
          </w:p>
        </w:tc>
        <w:tc>
          <w:tcPr>
            <w:tcW w:w="3240" w:type="dxa"/>
            <w:hideMark/>
          </w:tcPr>
          <w:p w14:paraId="79019A4F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Disorder, chaos</w:t>
            </w:r>
          </w:p>
        </w:tc>
        <w:tc>
          <w:tcPr>
            <w:tcW w:w="4315" w:type="dxa"/>
            <w:hideMark/>
          </w:tcPr>
          <w:p w14:paraId="4D89D317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Disorder is the effect, not the cause, of an increase in entropy (ref. 2019 #1g)</w:t>
            </w:r>
          </w:p>
        </w:tc>
      </w:tr>
      <w:tr w:rsidR="00067B11" w:rsidRPr="00067B11" w14:paraId="066DD961" w14:textId="77777777" w:rsidTr="001C731C">
        <w:trPr>
          <w:trHeight w:val="20"/>
        </w:trPr>
        <w:tc>
          <w:tcPr>
            <w:tcW w:w="3235" w:type="dxa"/>
            <w:hideMark/>
          </w:tcPr>
          <w:p w14:paraId="6D19F63E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bCs/>
                <w:sz w:val="18"/>
                <w:szCs w:val="18"/>
              </w:rPr>
              <w:t>ΔG determines thermodynamic favorability</w:t>
            </w:r>
          </w:p>
        </w:tc>
        <w:tc>
          <w:tcPr>
            <w:tcW w:w="3240" w:type="dxa"/>
            <w:hideMark/>
          </w:tcPr>
          <w:p w14:paraId="1808A595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 xml:space="preserve">Referencing ΔH or ΔS alone as determining thermodynamic favorability </w:t>
            </w:r>
          </w:p>
        </w:tc>
        <w:tc>
          <w:tcPr>
            <w:tcW w:w="4315" w:type="dxa"/>
            <w:hideMark/>
          </w:tcPr>
          <w:p w14:paraId="1EC4FEC0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All the thermodynamic properties contribute to favorability – hence using ΔG = ΔH-TΔS which takes all into account (ref. 2019 #1h)</w:t>
            </w:r>
          </w:p>
        </w:tc>
      </w:tr>
      <w:tr w:rsidR="00067B11" w:rsidRPr="00067B11" w14:paraId="05635ED5" w14:textId="77777777" w:rsidTr="001C731C">
        <w:trPr>
          <w:trHeight w:val="20"/>
        </w:trPr>
        <w:tc>
          <w:tcPr>
            <w:tcW w:w="3235" w:type="dxa"/>
            <w:hideMark/>
          </w:tcPr>
          <w:p w14:paraId="3F39189C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bCs/>
                <w:sz w:val="18"/>
                <w:szCs w:val="18"/>
              </w:rPr>
              <w:t>Use of correct value of R with thermodynamic data (that corresponds to energy units)</w:t>
            </w:r>
          </w:p>
        </w:tc>
        <w:tc>
          <w:tcPr>
            <w:tcW w:w="3240" w:type="dxa"/>
            <w:hideMark/>
          </w:tcPr>
          <w:p w14:paraId="0C71DF42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 xml:space="preserve">R value that does not correspond to the units needed in the problem </w:t>
            </w:r>
          </w:p>
        </w:tc>
        <w:tc>
          <w:tcPr>
            <w:tcW w:w="4315" w:type="dxa"/>
            <w:hideMark/>
          </w:tcPr>
          <w:p w14:paraId="078E9E81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Units of the R value must match those used in the problem, and correct units must be applied at the end, or the answer is incorrect (ref. 2018 #2b)</w:t>
            </w:r>
          </w:p>
        </w:tc>
      </w:tr>
      <w:tr w:rsidR="00067B11" w:rsidRPr="00067B11" w14:paraId="4A383F58" w14:textId="77777777" w:rsidTr="001C731C">
        <w:trPr>
          <w:trHeight w:val="20"/>
        </w:trPr>
        <w:tc>
          <w:tcPr>
            <w:tcW w:w="3235" w:type="dxa"/>
            <w:hideMark/>
          </w:tcPr>
          <w:p w14:paraId="5039CC0C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bCs/>
                <w:sz w:val="18"/>
                <w:szCs w:val="18"/>
              </w:rPr>
              <w:t>“Ions flow through the salt bridge to maintain a charge balance in each half-cell.”</w:t>
            </w:r>
          </w:p>
        </w:tc>
        <w:tc>
          <w:tcPr>
            <w:tcW w:w="3240" w:type="dxa"/>
            <w:hideMark/>
          </w:tcPr>
          <w:p w14:paraId="5455CAD0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“Electrons flow through the salt bridge to equilibrate charge.”</w:t>
            </w:r>
          </w:p>
        </w:tc>
        <w:tc>
          <w:tcPr>
            <w:tcW w:w="4315" w:type="dxa"/>
            <w:hideMark/>
          </w:tcPr>
          <w:p w14:paraId="7A528153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Electrons do not flow through the salt bridge; ions flow through the salt bridge, electrons flow through the wire (ref. 2018 #6a)</w:t>
            </w:r>
          </w:p>
        </w:tc>
      </w:tr>
      <w:tr w:rsidR="00067B11" w:rsidRPr="00067B11" w14:paraId="14FE5A88" w14:textId="77777777" w:rsidTr="001C731C">
        <w:trPr>
          <w:trHeight w:val="20"/>
        </w:trPr>
        <w:tc>
          <w:tcPr>
            <w:tcW w:w="3235" w:type="dxa"/>
            <w:hideMark/>
          </w:tcPr>
          <w:p w14:paraId="6AE2E5E9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bCs/>
                <w:sz w:val="18"/>
                <w:szCs w:val="18"/>
              </w:rPr>
              <w:t>Loss of mass of electrode is due to atoms of electrode going into solution as ions</w:t>
            </w:r>
          </w:p>
        </w:tc>
        <w:tc>
          <w:tcPr>
            <w:tcW w:w="3240" w:type="dxa"/>
            <w:hideMark/>
          </w:tcPr>
          <w:p w14:paraId="1D9B1EC5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Loss of mass of electrode is due to loss of electrons</w:t>
            </w:r>
          </w:p>
        </w:tc>
        <w:tc>
          <w:tcPr>
            <w:tcW w:w="4315" w:type="dxa"/>
            <w:hideMark/>
          </w:tcPr>
          <w:p w14:paraId="62F8409C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Electrons have extremely small (negligible in this case) mass</w:t>
            </w:r>
          </w:p>
          <w:p w14:paraId="68D380BA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(ref. 2014 #3)</w:t>
            </w:r>
          </w:p>
        </w:tc>
      </w:tr>
      <w:tr w:rsidR="00067B11" w:rsidRPr="00067B11" w14:paraId="1C1425C0" w14:textId="77777777" w:rsidTr="001C731C">
        <w:trPr>
          <w:trHeight w:val="20"/>
        </w:trPr>
        <w:tc>
          <w:tcPr>
            <w:tcW w:w="3235" w:type="dxa"/>
            <w:hideMark/>
          </w:tcPr>
          <w:p w14:paraId="7CE3C9A7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bCs/>
                <w:sz w:val="18"/>
                <w:szCs w:val="18"/>
              </w:rPr>
              <w:t>Discussion of Q vs. K for changes in cell potential after a change, or qualitative discussion of Nernst Equation</w:t>
            </w:r>
          </w:p>
        </w:tc>
        <w:tc>
          <w:tcPr>
            <w:tcW w:w="3240" w:type="dxa"/>
            <w:hideMark/>
          </w:tcPr>
          <w:p w14:paraId="49BBF8FD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 xml:space="preserve">Discussion of Le </w:t>
            </w:r>
            <w:proofErr w:type="spellStart"/>
            <w:r w:rsidRPr="00067B11">
              <w:rPr>
                <w:sz w:val="18"/>
                <w:szCs w:val="18"/>
              </w:rPr>
              <w:t>Châtelier’s</w:t>
            </w:r>
            <w:proofErr w:type="spellEnd"/>
            <w:r w:rsidRPr="00067B11">
              <w:rPr>
                <w:sz w:val="18"/>
                <w:szCs w:val="18"/>
              </w:rPr>
              <w:t xml:space="preserve"> principle</w:t>
            </w:r>
          </w:p>
        </w:tc>
        <w:tc>
          <w:tcPr>
            <w:tcW w:w="4315" w:type="dxa"/>
            <w:hideMark/>
          </w:tcPr>
          <w:p w14:paraId="4B4BDC59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An galvanic cell does not attain equilibrium while working – when it does, it stops producing current (is “dead”)</w:t>
            </w:r>
          </w:p>
          <w:p w14:paraId="38512563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(ref. 2014 #3)</w:t>
            </w:r>
          </w:p>
        </w:tc>
      </w:tr>
      <w:tr w:rsidR="00067B11" w:rsidRPr="00067B11" w14:paraId="2C2D7F3C" w14:textId="77777777" w:rsidTr="001C731C">
        <w:trPr>
          <w:trHeight w:val="20"/>
        </w:trPr>
        <w:tc>
          <w:tcPr>
            <w:tcW w:w="3235" w:type="dxa"/>
            <w:hideMark/>
          </w:tcPr>
          <w:p w14:paraId="4BF907F9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An equation that is balanced with respect to both number of atoms and charge</w:t>
            </w:r>
          </w:p>
        </w:tc>
        <w:tc>
          <w:tcPr>
            <w:tcW w:w="3240" w:type="dxa"/>
            <w:hideMark/>
          </w:tcPr>
          <w:p w14:paraId="2BB3B167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bCs/>
                <w:sz w:val="18"/>
                <w:szCs w:val="18"/>
              </w:rPr>
              <w:t>An equation that is unbalanced in atoms, charge or both; an equation that shows electrons</w:t>
            </w:r>
          </w:p>
        </w:tc>
        <w:tc>
          <w:tcPr>
            <w:tcW w:w="4315" w:type="dxa"/>
            <w:hideMark/>
          </w:tcPr>
          <w:p w14:paraId="27A97D02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bCs/>
                <w:sz w:val="18"/>
                <w:szCs w:val="18"/>
              </w:rPr>
              <w:t>Recognize that equations need to be balanced with respect to both atoms and charge – this means that half-reactions may need to multiplied by a coefficient to balance charge for the overall reaction, even if atoms are already balanced, and then the electrons on both sides cancel out and are not written (ref. 2018 #3d)</w:t>
            </w:r>
          </w:p>
        </w:tc>
      </w:tr>
      <w:tr w:rsidR="00067B11" w:rsidRPr="00067B11" w14:paraId="33F274A3" w14:textId="77777777" w:rsidTr="001C731C">
        <w:trPr>
          <w:trHeight w:val="20"/>
        </w:trPr>
        <w:tc>
          <w:tcPr>
            <w:tcW w:w="3235" w:type="dxa"/>
            <w:hideMark/>
          </w:tcPr>
          <w:p w14:paraId="6876DB8A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E° value not multiplied by stoichiometric factors</w:t>
            </w:r>
          </w:p>
        </w:tc>
        <w:tc>
          <w:tcPr>
            <w:tcW w:w="3240" w:type="dxa"/>
            <w:hideMark/>
          </w:tcPr>
          <w:p w14:paraId="32D1268F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E° value that has been multiplied by a stoichiometric value</w:t>
            </w:r>
          </w:p>
        </w:tc>
        <w:tc>
          <w:tcPr>
            <w:tcW w:w="4315" w:type="dxa"/>
            <w:hideMark/>
          </w:tcPr>
          <w:p w14:paraId="1CC1053B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E° is intensive and therefore does not change if the half-cell is multiplied by a stoichiometric factor to balance charge (ref. 2018 #6b)</w:t>
            </w:r>
          </w:p>
        </w:tc>
      </w:tr>
      <w:tr w:rsidR="00067B11" w:rsidRPr="00067B11" w14:paraId="6124968F" w14:textId="77777777" w:rsidTr="001C731C">
        <w:trPr>
          <w:trHeight w:val="20"/>
        </w:trPr>
        <w:tc>
          <w:tcPr>
            <w:tcW w:w="3235" w:type="dxa"/>
            <w:hideMark/>
          </w:tcPr>
          <w:p w14:paraId="777160A3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Standard cell potential when discussing a REDOX reaction</w:t>
            </w:r>
          </w:p>
        </w:tc>
        <w:tc>
          <w:tcPr>
            <w:tcW w:w="3240" w:type="dxa"/>
            <w:hideMark/>
          </w:tcPr>
          <w:p w14:paraId="53953BBC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Standard reduction potential when discussing a REDOX reaction</w:t>
            </w:r>
          </w:p>
        </w:tc>
        <w:tc>
          <w:tcPr>
            <w:tcW w:w="4315" w:type="dxa"/>
            <w:hideMark/>
          </w:tcPr>
          <w:p w14:paraId="1F217224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A redox reaction contains both oxidation and reduction; therefore the E° for the reaction is the sum of the standard reduction potentials of both the oxidation and reduction half-reactions</w:t>
            </w:r>
          </w:p>
        </w:tc>
      </w:tr>
      <w:tr w:rsidR="00067B11" w:rsidRPr="00067B11" w14:paraId="722AA626" w14:textId="77777777" w:rsidTr="001C731C">
        <w:trPr>
          <w:trHeight w:val="20"/>
        </w:trPr>
        <w:tc>
          <w:tcPr>
            <w:tcW w:w="3235" w:type="dxa"/>
            <w:hideMark/>
          </w:tcPr>
          <w:p w14:paraId="53B0D0BA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 xml:space="preserve">When writing </w:t>
            </w:r>
            <w:proofErr w:type="spellStart"/>
            <w:r w:rsidRPr="00067B11">
              <w:rPr>
                <w:sz w:val="18"/>
                <w:szCs w:val="18"/>
              </w:rPr>
              <w:t>E°</w:t>
            </w:r>
            <w:r w:rsidRPr="00067B11">
              <w:rPr>
                <w:sz w:val="18"/>
                <w:szCs w:val="18"/>
                <w:vertAlign w:val="subscript"/>
              </w:rPr>
              <w:t>cell</w:t>
            </w:r>
            <w:proofErr w:type="spellEnd"/>
            <w:r w:rsidRPr="00067B11">
              <w:rPr>
                <w:sz w:val="18"/>
                <w:szCs w:val="18"/>
              </w:rPr>
              <w:t xml:space="preserve"> for redox reactions, one </w:t>
            </w:r>
            <w:proofErr w:type="spellStart"/>
            <w:r w:rsidRPr="00067B11">
              <w:rPr>
                <w:sz w:val="18"/>
                <w:szCs w:val="18"/>
              </w:rPr>
              <w:t>rxn</w:t>
            </w:r>
            <w:proofErr w:type="spellEnd"/>
            <w:r w:rsidRPr="00067B11">
              <w:rPr>
                <w:sz w:val="18"/>
                <w:szCs w:val="18"/>
              </w:rPr>
              <w:t xml:space="preserve"> must be reversed so that </w:t>
            </w:r>
            <w:proofErr w:type="spellStart"/>
            <w:r w:rsidRPr="00067B11">
              <w:rPr>
                <w:sz w:val="18"/>
                <w:szCs w:val="18"/>
              </w:rPr>
              <w:t>E°</w:t>
            </w:r>
            <w:r w:rsidRPr="00067B11">
              <w:rPr>
                <w:sz w:val="18"/>
                <w:szCs w:val="18"/>
                <w:vertAlign w:val="subscript"/>
              </w:rPr>
              <w:t>cell</w:t>
            </w:r>
            <w:proofErr w:type="spellEnd"/>
            <w:r w:rsidRPr="00067B11">
              <w:rPr>
                <w:sz w:val="18"/>
                <w:szCs w:val="18"/>
              </w:rPr>
              <w:t xml:space="preserve"> is positive</w:t>
            </w:r>
          </w:p>
        </w:tc>
        <w:tc>
          <w:tcPr>
            <w:tcW w:w="3240" w:type="dxa"/>
            <w:hideMark/>
          </w:tcPr>
          <w:p w14:paraId="4144552C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 xml:space="preserve">An </w:t>
            </w:r>
            <w:proofErr w:type="spellStart"/>
            <w:r w:rsidRPr="00067B11">
              <w:rPr>
                <w:sz w:val="18"/>
                <w:szCs w:val="18"/>
              </w:rPr>
              <w:t>E°</w:t>
            </w:r>
            <w:r w:rsidRPr="00067B11">
              <w:rPr>
                <w:sz w:val="18"/>
                <w:szCs w:val="18"/>
                <w:vertAlign w:val="subscript"/>
              </w:rPr>
              <w:t>cell</w:t>
            </w:r>
            <w:proofErr w:type="spellEnd"/>
            <w:r w:rsidRPr="00067B11">
              <w:rPr>
                <w:sz w:val="18"/>
                <w:szCs w:val="18"/>
              </w:rPr>
              <w:t xml:space="preserve"> that is negative</w:t>
            </w:r>
          </w:p>
        </w:tc>
        <w:tc>
          <w:tcPr>
            <w:tcW w:w="4315" w:type="dxa"/>
            <w:hideMark/>
          </w:tcPr>
          <w:p w14:paraId="75845E82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There has to be thermodynamic favorability, which depends on the +</w:t>
            </w:r>
            <w:proofErr w:type="spellStart"/>
            <w:r w:rsidRPr="00067B11">
              <w:rPr>
                <w:sz w:val="18"/>
                <w:szCs w:val="18"/>
              </w:rPr>
              <w:t>E°</w:t>
            </w:r>
            <w:r w:rsidRPr="00067B11">
              <w:rPr>
                <w:sz w:val="18"/>
                <w:szCs w:val="18"/>
                <w:vertAlign w:val="subscript"/>
              </w:rPr>
              <w:t>cell</w:t>
            </w:r>
            <w:proofErr w:type="spellEnd"/>
            <w:r w:rsidRPr="00067B11">
              <w:rPr>
                <w:sz w:val="18"/>
                <w:szCs w:val="18"/>
              </w:rPr>
              <w:t xml:space="preserve">, in order for the </w:t>
            </w:r>
            <w:proofErr w:type="spellStart"/>
            <w:r w:rsidRPr="00067B11">
              <w:rPr>
                <w:sz w:val="18"/>
                <w:szCs w:val="18"/>
              </w:rPr>
              <w:t>rxn</w:t>
            </w:r>
            <w:proofErr w:type="spellEnd"/>
            <w:r w:rsidRPr="00067B11">
              <w:rPr>
                <w:sz w:val="18"/>
                <w:szCs w:val="18"/>
              </w:rPr>
              <w:t xml:space="preserve"> to work (ref. 2019 #2b)</w:t>
            </w:r>
          </w:p>
        </w:tc>
      </w:tr>
      <w:tr w:rsidR="00067B11" w:rsidRPr="00067B11" w14:paraId="4749660C" w14:textId="77777777" w:rsidTr="001C731C">
        <w:trPr>
          <w:trHeight w:val="20"/>
        </w:trPr>
        <w:tc>
          <w:tcPr>
            <w:tcW w:w="3235" w:type="dxa"/>
            <w:hideMark/>
          </w:tcPr>
          <w:p w14:paraId="6934E2A2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Using the cell potential for E° in ΔG = -</w:t>
            </w:r>
            <w:proofErr w:type="spellStart"/>
            <w:r w:rsidRPr="00067B11">
              <w:rPr>
                <w:sz w:val="18"/>
                <w:szCs w:val="18"/>
              </w:rPr>
              <w:t>nFE</w:t>
            </w:r>
            <w:proofErr w:type="spellEnd"/>
            <w:r w:rsidRPr="00067B11">
              <w:rPr>
                <w:sz w:val="18"/>
                <w:szCs w:val="18"/>
              </w:rPr>
              <w:t>° calculations</w:t>
            </w:r>
          </w:p>
        </w:tc>
        <w:tc>
          <w:tcPr>
            <w:tcW w:w="3240" w:type="dxa"/>
            <w:hideMark/>
          </w:tcPr>
          <w:p w14:paraId="2CE7512C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Using a half-cell potential for  E° in ΔG = -</w:t>
            </w:r>
            <w:proofErr w:type="spellStart"/>
            <w:r w:rsidRPr="00067B11">
              <w:rPr>
                <w:sz w:val="18"/>
                <w:szCs w:val="18"/>
              </w:rPr>
              <w:t>nFE</w:t>
            </w:r>
            <w:proofErr w:type="spellEnd"/>
            <w:r w:rsidRPr="00067B11">
              <w:rPr>
                <w:sz w:val="18"/>
                <w:szCs w:val="18"/>
              </w:rPr>
              <w:t>° calculations</w:t>
            </w:r>
          </w:p>
        </w:tc>
        <w:tc>
          <w:tcPr>
            <w:tcW w:w="4315" w:type="dxa"/>
            <w:hideMark/>
          </w:tcPr>
          <w:p w14:paraId="4121C32D" w14:textId="77777777"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This equation uses the full cell potential, not for a half-reaction (ref. 2018 #6b)</w:t>
            </w:r>
          </w:p>
        </w:tc>
      </w:tr>
    </w:tbl>
    <w:p w14:paraId="65DCA5E3" w14:textId="77777777" w:rsidR="00067B11" w:rsidRDefault="00067B11" w:rsidP="009B51A3"/>
    <w:p w14:paraId="5CD4D2E6" w14:textId="588C4BC5" w:rsidR="001C731C" w:rsidRDefault="001C731C" w:rsidP="009B51A3">
      <w:pPr>
        <w:rPr>
          <w:b/>
        </w:rPr>
      </w:pPr>
      <w:r>
        <w:rPr>
          <w:b/>
        </w:rPr>
        <w:t xml:space="preserve">Any others you can think of?! </w:t>
      </w:r>
      <w:r>
        <w:rPr>
          <w:b/>
        </w:rPr>
        <w:br/>
        <w:t>Tell Mrs. Farmer so she can add them for next year!</w:t>
      </w:r>
    </w:p>
    <w:p w14:paraId="19439DE2" w14:textId="520CAE5C" w:rsidR="00CD08CC" w:rsidRDefault="00CD08CC" w:rsidP="009B51A3">
      <w:pPr>
        <w:rPr>
          <w:b/>
        </w:rPr>
      </w:pPr>
    </w:p>
    <w:p w14:paraId="6628F6E7" w14:textId="45A1658D" w:rsidR="00CD08CC" w:rsidRDefault="00CD08CC" w:rsidP="00CD08CC">
      <w:pPr>
        <w:spacing w:after="0"/>
        <w:rPr>
          <w:b/>
        </w:rPr>
      </w:pPr>
      <w:r>
        <w:rPr>
          <w:b/>
        </w:rPr>
        <w:t>Great reminders at the bottom of the article:</w:t>
      </w:r>
    </w:p>
    <w:p w14:paraId="4B89CF4C" w14:textId="0B69426C" w:rsidR="00CD08CC" w:rsidRDefault="00000000" w:rsidP="009B51A3">
      <w:pPr>
        <w:rPr>
          <w:b/>
        </w:rPr>
      </w:pPr>
      <w:hyperlink r:id="rId7" w:history="1">
        <w:r w:rsidR="00CD08CC" w:rsidRPr="000E2FA0">
          <w:rPr>
            <w:rStyle w:val="Hyperlink"/>
            <w:b/>
          </w:rPr>
          <w:t>https://www.chemedx.org/article/using-information-2022-ap-chemistry-reading-improve-exam-performance</w:t>
        </w:r>
      </w:hyperlink>
      <w:r w:rsidR="00CD08CC">
        <w:rPr>
          <w:b/>
        </w:rPr>
        <w:t xml:space="preserve"> </w:t>
      </w:r>
    </w:p>
    <w:p w14:paraId="20E6085E" w14:textId="7E66EC0A" w:rsidR="00CD08CC" w:rsidRPr="001C731C" w:rsidRDefault="00CD08CC" w:rsidP="009B51A3">
      <w:pPr>
        <w:rPr>
          <w:b/>
        </w:rPr>
      </w:pPr>
      <w:r>
        <w:rPr>
          <w:noProof/>
        </w:rPr>
        <w:drawing>
          <wp:inline distT="0" distB="0" distL="0" distR="0" wp14:anchorId="430B9030" wp14:editId="48924948">
            <wp:extent cx="685800" cy="685800"/>
            <wp:effectExtent l="0" t="0" r="0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08CC" w:rsidRPr="001C731C" w:rsidSect="000A21F8">
      <w:headerReference w:type="first" r:id="rId9"/>
      <w:footerReference w:type="first" r:id="rId10"/>
      <w:pgSz w:w="12240" w:h="15840"/>
      <w:pgMar w:top="720" w:right="720" w:bottom="72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68C07" w14:textId="77777777" w:rsidR="004F35AC" w:rsidRDefault="004F35AC" w:rsidP="009B51A3">
      <w:pPr>
        <w:spacing w:after="0" w:line="240" w:lineRule="auto"/>
      </w:pPr>
      <w:r>
        <w:separator/>
      </w:r>
    </w:p>
  </w:endnote>
  <w:endnote w:type="continuationSeparator" w:id="0">
    <w:p w14:paraId="423E43CF" w14:textId="77777777" w:rsidR="004F35AC" w:rsidRDefault="004F35AC" w:rsidP="009B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BD02" w14:textId="1943F3B4" w:rsidR="000A21F8" w:rsidRPr="000A21F8" w:rsidRDefault="000A21F8" w:rsidP="000A21F8">
    <w:pPr>
      <w:pStyle w:val="Footer"/>
      <w:jc w:val="right"/>
      <w:rPr>
        <w:rFonts w:ascii="Arial" w:hAnsi="Arial" w:cs="Arial"/>
        <w:b/>
        <w:bCs/>
        <w:sz w:val="48"/>
        <w:szCs w:val="48"/>
      </w:rPr>
    </w:pPr>
    <w:r>
      <w:rPr>
        <w:rFonts w:ascii="Arial" w:hAnsi="Arial" w:cs="Arial"/>
        <w:b/>
        <w:bCs/>
        <w:sz w:val="48"/>
        <w:szCs w:val="48"/>
      </w:rPr>
      <w:t>R-4</w:t>
    </w:r>
    <w:r w:rsidR="00962434">
      <w:rPr>
        <w:rFonts w:ascii="Arial" w:hAnsi="Arial" w:cs="Arial"/>
        <w:b/>
        <w:bCs/>
        <w:sz w:val="48"/>
        <w:szCs w:val="48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D9673" w14:textId="77777777" w:rsidR="004F35AC" w:rsidRDefault="004F35AC" w:rsidP="009B51A3">
      <w:pPr>
        <w:spacing w:after="0" w:line="240" w:lineRule="auto"/>
      </w:pPr>
      <w:r>
        <w:separator/>
      </w:r>
    </w:p>
  </w:footnote>
  <w:footnote w:type="continuationSeparator" w:id="0">
    <w:p w14:paraId="5C9BBB89" w14:textId="77777777" w:rsidR="004F35AC" w:rsidRDefault="004F35AC" w:rsidP="009B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F4BC" w14:textId="77777777" w:rsidR="00067B11" w:rsidRPr="00067B11" w:rsidRDefault="00067B11" w:rsidP="00067B11">
    <w:pPr>
      <w:spacing w:after="0"/>
      <w:jc w:val="center"/>
      <w:rPr>
        <w:rFonts w:ascii="Impact" w:hAnsi="Impact"/>
        <w:sz w:val="24"/>
      </w:rPr>
    </w:pPr>
    <w:r>
      <w:rPr>
        <w:rFonts w:ascii="Impact" w:hAnsi="Impact"/>
        <w:sz w:val="24"/>
      </w:rPr>
      <w:t>Write THIS...NOT That!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B14F4"/>
    <w:multiLevelType w:val="hybridMultilevel"/>
    <w:tmpl w:val="23E46898"/>
    <w:lvl w:ilvl="0" w:tplc="0256E3BA">
      <w:start w:val="1"/>
      <w:numFmt w:val="bullet"/>
      <w:lvlText w:val="∙"/>
      <w:lvlJc w:val="left"/>
      <w:pPr>
        <w:tabs>
          <w:tab w:val="num" w:pos="360"/>
        </w:tabs>
        <w:ind w:left="360" w:hanging="360"/>
      </w:pPr>
      <w:rPr>
        <w:rFonts w:ascii="Noto Sans Symbols" w:hAnsi="Noto Sans Symbols" w:hint="default"/>
      </w:rPr>
    </w:lvl>
    <w:lvl w:ilvl="1" w:tplc="EA5205C2" w:tentative="1">
      <w:start w:val="1"/>
      <w:numFmt w:val="bullet"/>
      <w:lvlText w:val="∙"/>
      <w:lvlJc w:val="left"/>
      <w:pPr>
        <w:tabs>
          <w:tab w:val="num" w:pos="1080"/>
        </w:tabs>
        <w:ind w:left="1080" w:hanging="360"/>
      </w:pPr>
      <w:rPr>
        <w:rFonts w:ascii="Noto Sans Symbols" w:hAnsi="Noto Sans Symbols" w:hint="default"/>
      </w:rPr>
    </w:lvl>
    <w:lvl w:ilvl="2" w:tplc="61601CCA" w:tentative="1">
      <w:start w:val="1"/>
      <w:numFmt w:val="bullet"/>
      <w:lvlText w:val="∙"/>
      <w:lvlJc w:val="left"/>
      <w:pPr>
        <w:tabs>
          <w:tab w:val="num" w:pos="1800"/>
        </w:tabs>
        <w:ind w:left="1800" w:hanging="360"/>
      </w:pPr>
      <w:rPr>
        <w:rFonts w:ascii="Noto Sans Symbols" w:hAnsi="Noto Sans Symbols" w:hint="default"/>
      </w:rPr>
    </w:lvl>
    <w:lvl w:ilvl="3" w:tplc="D744E7EE" w:tentative="1">
      <w:start w:val="1"/>
      <w:numFmt w:val="bullet"/>
      <w:lvlText w:val="∙"/>
      <w:lvlJc w:val="left"/>
      <w:pPr>
        <w:tabs>
          <w:tab w:val="num" w:pos="2520"/>
        </w:tabs>
        <w:ind w:left="2520" w:hanging="360"/>
      </w:pPr>
      <w:rPr>
        <w:rFonts w:ascii="Noto Sans Symbols" w:hAnsi="Noto Sans Symbols" w:hint="default"/>
      </w:rPr>
    </w:lvl>
    <w:lvl w:ilvl="4" w:tplc="1884E98A" w:tentative="1">
      <w:start w:val="1"/>
      <w:numFmt w:val="bullet"/>
      <w:lvlText w:val="∙"/>
      <w:lvlJc w:val="left"/>
      <w:pPr>
        <w:tabs>
          <w:tab w:val="num" w:pos="3240"/>
        </w:tabs>
        <w:ind w:left="3240" w:hanging="360"/>
      </w:pPr>
      <w:rPr>
        <w:rFonts w:ascii="Noto Sans Symbols" w:hAnsi="Noto Sans Symbols" w:hint="default"/>
      </w:rPr>
    </w:lvl>
    <w:lvl w:ilvl="5" w:tplc="1B120620" w:tentative="1">
      <w:start w:val="1"/>
      <w:numFmt w:val="bullet"/>
      <w:lvlText w:val="∙"/>
      <w:lvlJc w:val="left"/>
      <w:pPr>
        <w:tabs>
          <w:tab w:val="num" w:pos="3960"/>
        </w:tabs>
        <w:ind w:left="3960" w:hanging="360"/>
      </w:pPr>
      <w:rPr>
        <w:rFonts w:ascii="Noto Sans Symbols" w:hAnsi="Noto Sans Symbols" w:hint="default"/>
      </w:rPr>
    </w:lvl>
    <w:lvl w:ilvl="6" w:tplc="4824205C" w:tentative="1">
      <w:start w:val="1"/>
      <w:numFmt w:val="bullet"/>
      <w:lvlText w:val="∙"/>
      <w:lvlJc w:val="left"/>
      <w:pPr>
        <w:tabs>
          <w:tab w:val="num" w:pos="4680"/>
        </w:tabs>
        <w:ind w:left="4680" w:hanging="360"/>
      </w:pPr>
      <w:rPr>
        <w:rFonts w:ascii="Noto Sans Symbols" w:hAnsi="Noto Sans Symbols" w:hint="default"/>
      </w:rPr>
    </w:lvl>
    <w:lvl w:ilvl="7" w:tplc="E50CA220" w:tentative="1">
      <w:start w:val="1"/>
      <w:numFmt w:val="bullet"/>
      <w:lvlText w:val="∙"/>
      <w:lvlJc w:val="left"/>
      <w:pPr>
        <w:tabs>
          <w:tab w:val="num" w:pos="5400"/>
        </w:tabs>
        <w:ind w:left="5400" w:hanging="360"/>
      </w:pPr>
      <w:rPr>
        <w:rFonts w:ascii="Noto Sans Symbols" w:hAnsi="Noto Sans Symbols" w:hint="default"/>
      </w:rPr>
    </w:lvl>
    <w:lvl w:ilvl="8" w:tplc="27C28AEE" w:tentative="1">
      <w:start w:val="1"/>
      <w:numFmt w:val="bullet"/>
      <w:lvlText w:val="∙"/>
      <w:lvlJc w:val="left"/>
      <w:pPr>
        <w:tabs>
          <w:tab w:val="num" w:pos="6120"/>
        </w:tabs>
        <w:ind w:left="6120" w:hanging="360"/>
      </w:pPr>
      <w:rPr>
        <w:rFonts w:ascii="Noto Sans Symbols" w:hAnsi="Noto Sans Symbols" w:hint="default"/>
      </w:rPr>
    </w:lvl>
  </w:abstractNum>
  <w:num w:numId="1" w16cid:durableId="1493525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1A3"/>
    <w:rsid w:val="00067B11"/>
    <w:rsid w:val="000A21F8"/>
    <w:rsid w:val="000B74B1"/>
    <w:rsid w:val="00191103"/>
    <w:rsid w:val="001C731C"/>
    <w:rsid w:val="0040635B"/>
    <w:rsid w:val="00493099"/>
    <w:rsid w:val="004F35AC"/>
    <w:rsid w:val="005A7C5E"/>
    <w:rsid w:val="00650AD1"/>
    <w:rsid w:val="00904866"/>
    <w:rsid w:val="00962434"/>
    <w:rsid w:val="009B51A3"/>
    <w:rsid w:val="00C53445"/>
    <w:rsid w:val="00CD08CC"/>
    <w:rsid w:val="00E3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91E81"/>
  <w15:chartTrackingRefBased/>
  <w15:docId w15:val="{7C00AE70-DB5B-4C31-860E-7A1AB72C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1A3"/>
  </w:style>
  <w:style w:type="paragraph" w:styleId="Footer">
    <w:name w:val="footer"/>
    <w:basedOn w:val="Normal"/>
    <w:link w:val="FooterChar"/>
    <w:uiPriority w:val="99"/>
    <w:unhideWhenUsed/>
    <w:rsid w:val="009B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1A3"/>
  </w:style>
  <w:style w:type="paragraph" w:styleId="NormalWeb">
    <w:name w:val="Normal (Web)"/>
    <w:basedOn w:val="Normal"/>
    <w:uiPriority w:val="99"/>
    <w:semiHidden/>
    <w:unhideWhenUsed/>
    <w:rsid w:val="009B51A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B5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08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chemedx.org/article/using-information-2022-ap-chemistry-reading-improve-exam-performan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3980</Words>
  <Characters>22689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5</cp:revision>
  <cp:lastPrinted>2024-03-27T21:33:00Z</cp:lastPrinted>
  <dcterms:created xsi:type="dcterms:W3CDTF">2022-04-01T16:50:00Z</dcterms:created>
  <dcterms:modified xsi:type="dcterms:W3CDTF">2024-03-27T21:33:00Z</dcterms:modified>
</cp:coreProperties>
</file>