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93736" w14:textId="241589B3" w:rsidR="000175AB" w:rsidRDefault="00A81FF4">
      <w:pPr>
        <w:tabs>
          <w:tab w:val="left" w:pos="7300"/>
        </w:tabs>
        <w:spacing w:before="89" w:line="290" w:lineRule="exact"/>
        <w:ind w:left="100"/>
        <w:rPr>
          <w:sz w:val="24"/>
        </w:rPr>
      </w:pPr>
      <w:r>
        <w:rPr>
          <w:b/>
          <w:sz w:val="24"/>
        </w:rPr>
        <w:t xml:space="preserve">Dougherty Valley HS </w:t>
      </w:r>
      <w:r>
        <w:rPr>
          <w:rFonts w:ascii="Symbol" w:hAnsi="Symbol"/>
          <w:sz w:val="24"/>
        </w:rPr>
        <w:t></w:t>
      </w:r>
      <w:r>
        <w:rPr>
          <w:rFonts w:ascii="Symbol" w:hAnsi="Symbol"/>
          <w:spacing w:val="-25"/>
          <w:sz w:val="24"/>
        </w:rPr>
        <w:t></w:t>
      </w:r>
      <w:r>
        <w:rPr>
          <w:b/>
          <w:sz w:val="24"/>
        </w:rPr>
        <w:t>AP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Chemistry</w:t>
      </w:r>
      <w:r>
        <w:rPr>
          <w:b/>
          <w:sz w:val="24"/>
        </w:rPr>
        <w:tab/>
      </w:r>
    </w:p>
    <w:p w14:paraId="35B7F406" w14:textId="77777777" w:rsidR="000175AB" w:rsidRDefault="00A81FF4" w:rsidP="00D43826">
      <w:pPr>
        <w:pBdr>
          <w:bottom w:val="single" w:sz="4" w:space="1" w:color="auto"/>
        </w:pBdr>
        <w:spacing w:line="230" w:lineRule="auto"/>
        <w:ind w:left="100"/>
        <w:rPr>
          <w:b/>
          <w:sz w:val="24"/>
        </w:rPr>
      </w:pPr>
      <w:r>
        <w:rPr>
          <w:b/>
          <w:sz w:val="24"/>
        </w:rPr>
        <w:t>Entropy and Free Energy Bluffer Guide</w:t>
      </w:r>
    </w:p>
    <w:p w14:paraId="3CC32DB0" w14:textId="77777777" w:rsidR="00D43826" w:rsidRPr="00845E65" w:rsidRDefault="00D43826" w:rsidP="00D43826">
      <w:pPr>
        <w:pStyle w:val="PlainText"/>
        <w:jc w:val="right"/>
        <w:rPr>
          <w:rFonts w:ascii="Arial Black" w:hAnsi="Arial Black" w:cs="Tahoma"/>
          <w:b/>
          <w:bCs/>
          <w:spacing w:val="80"/>
          <w:sz w:val="20"/>
        </w:rPr>
      </w:pPr>
      <w:r>
        <w:rPr>
          <w:rFonts w:ascii="Arial Black" w:hAnsi="Arial Black" w:cs="Tahoma"/>
          <w:b/>
          <w:bCs/>
          <w:spacing w:val="80"/>
          <w:sz w:val="20"/>
        </w:rPr>
        <w:t>REFERENCE SHEET</w:t>
      </w:r>
    </w:p>
    <w:p w14:paraId="56391793" w14:textId="26BC7C86" w:rsidR="00D43826" w:rsidRDefault="00D43826" w:rsidP="00D43826">
      <w:pPr>
        <w:tabs>
          <w:tab w:val="left" w:pos="10222"/>
        </w:tabs>
        <w:rPr>
          <w:sz w:val="18"/>
        </w:rPr>
        <w:sectPr w:rsidR="00D43826" w:rsidSect="00D43826">
          <w:type w:val="continuous"/>
          <w:pgSz w:w="12240" w:h="15840"/>
          <w:pgMar w:top="640" w:right="640" w:bottom="280" w:left="620" w:header="720" w:footer="720" w:gutter="0"/>
          <w:cols w:space="720"/>
        </w:sectPr>
      </w:pPr>
    </w:p>
    <w:p w14:paraId="410AE684" w14:textId="1F608E20" w:rsidR="000175AB" w:rsidRDefault="000175AB">
      <w:pPr>
        <w:rPr>
          <w:sz w:val="18"/>
        </w:rPr>
        <w:sectPr w:rsidR="000175AB" w:rsidSect="00D43826">
          <w:type w:val="continuous"/>
          <w:pgSz w:w="12240" w:h="15840"/>
          <w:pgMar w:top="640" w:right="640" w:bottom="280" w:left="620" w:header="720" w:footer="720" w:gutter="0"/>
          <w:cols w:num="2" w:space="720"/>
        </w:sectPr>
      </w:pPr>
    </w:p>
    <w:p w14:paraId="5A3A253A" w14:textId="77777777" w:rsidR="000175AB" w:rsidRDefault="00A81FF4">
      <w:pPr>
        <w:pStyle w:val="ListParagraph"/>
        <w:numPr>
          <w:ilvl w:val="0"/>
          <w:numId w:val="1"/>
        </w:numPr>
        <w:tabs>
          <w:tab w:val="left" w:pos="460"/>
        </w:tabs>
        <w:spacing w:before="94" w:line="235" w:lineRule="auto"/>
        <w:ind w:right="38"/>
        <w:rPr>
          <w:sz w:val="24"/>
        </w:rPr>
      </w:pPr>
      <w:r>
        <w:rPr>
          <w:sz w:val="24"/>
        </w:rPr>
        <w:t>There are two driving forces for</w:t>
      </w:r>
      <w:r>
        <w:rPr>
          <w:spacing w:val="-6"/>
          <w:sz w:val="24"/>
        </w:rPr>
        <w:t xml:space="preserve"> </w:t>
      </w:r>
      <w:r>
        <w:rPr>
          <w:sz w:val="24"/>
        </w:rPr>
        <w:t>reactions. Reactions tend</w:t>
      </w:r>
      <w:r>
        <w:rPr>
          <w:spacing w:val="-1"/>
          <w:sz w:val="24"/>
        </w:rPr>
        <w:t xml:space="preserve"> </w:t>
      </w:r>
      <w:r>
        <w:rPr>
          <w:sz w:val="24"/>
        </w:rPr>
        <w:t>toward:</w:t>
      </w:r>
    </w:p>
    <w:p w14:paraId="03B319A9" w14:textId="77777777" w:rsidR="000175AB" w:rsidRDefault="00A81FF4">
      <w:pPr>
        <w:spacing w:before="9" w:line="299" w:lineRule="exact"/>
        <w:ind w:left="820"/>
        <w:rPr>
          <w:sz w:val="24"/>
        </w:rPr>
      </w:pPr>
      <w:r>
        <w:rPr>
          <w:sz w:val="24"/>
        </w:rPr>
        <w:t xml:space="preserve">minimum </w:t>
      </w:r>
      <w:r>
        <w:rPr>
          <w:b/>
          <w:sz w:val="24"/>
        </w:rPr>
        <w:t>Enthalpy</w:t>
      </w:r>
      <w:r>
        <w:rPr>
          <w:sz w:val="24"/>
        </w:rPr>
        <w:t xml:space="preserve">, </w:t>
      </w:r>
      <w:r>
        <w:rPr>
          <w:rFonts w:ascii="Symbol" w:hAnsi="Symbol"/>
          <w:sz w:val="24"/>
        </w:rPr>
        <w:t></w:t>
      </w:r>
      <w:r>
        <w:rPr>
          <w:sz w:val="24"/>
        </w:rPr>
        <w:t>H (heat energy)</w:t>
      </w:r>
    </w:p>
    <w:p w14:paraId="08EC17FA" w14:textId="77777777" w:rsidR="000175AB" w:rsidRDefault="00A81FF4">
      <w:pPr>
        <w:pStyle w:val="BodyText"/>
        <w:spacing w:before="3" w:line="232" w:lineRule="auto"/>
        <w:ind w:left="820" w:right="140" w:firstLine="720"/>
      </w:pPr>
      <w:r>
        <w:rPr>
          <w:rFonts w:ascii="Symbol" w:hAnsi="Symbol"/>
        </w:rPr>
        <w:t></w:t>
      </w:r>
      <w:r>
        <w:t xml:space="preserve">H </w:t>
      </w:r>
      <w:r>
        <w:rPr>
          <w:rFonts w:ascii="Symbol" w:hAnsi="Symbol"/>
        </w:rPr>
        <w:t></w:t>
      </w:r>
      <w:r>
        <w:t xml:space="preserve">, </w:t>
      </w:r>
      <w:r>
        <w:rPr>
          <w:rFonts w:ascii="Symbol" w:hAnsi="Symbol"/>
        </w:rPr>
        <w:t></w:t>
      </w:r>
      <w:r>
        <w:t xml:space="preserve">H&lt;0, downhill maximum </w:t>
      </w:r>
      <w:r>
        <w:rPr>
          <w:b/>
        </w:rPr>
        <w:t>Entropy</w:t>
      </w:r>
      <w:r>
        <w:t xml:space="preserve">, </w:t>
      </w:r>
      <w:r>
        <w:rPr>
          <w:rFonts w:ascii="Symbol" w:hAnsi="Symbol"/>
        </w:rPr>
        <w:t></w:t>
      </w:r>
      <w:r>
        <w:t xml:space="preserve">S </w:t>
      </w:r>
      <w:r>
        <w:rPr>
          <w:spacing w:val="-5"/>
        </w:rPr>
        <w:t>(randomness)</w:t>
      </w:r>
    </w:p>
    <w:p w14:paraId="64609268" w14:textId="77777777" w:rsidR="000175AB" w:rsidRDefault="00A81FF4">
      <w:pPr>
        <w:pStyle w:val="BodyText"/>
        <w:spacing w:line="297" w:lineRule="exact"/>
        <w:ind w:left="1540"/>
      </w:pPr>
      <w:r>
        <w:rPr>
          <w:rFonts w:ascii="Symbol" w:hAnsi="Symbol"/>
        </w:rPr>
        <w:t></w:t>
      </w:r>
      <w:r>
        <w:t xml:space="preserve">S +, </w:t>
      </w:r>
      <w:r>
        <w:rPr>
          <w:rFonts w:ascii="Symbol" w:hAnsi="Symbol"/>
        </w:rPr>
        <w:t></w:t>
      </w:r>
      <w:r>
        <w:t>S&gt;0, uphill</w:t>
      </w:r>
    </w:p>
    <w:p w14:paraId="67DD8FA6" w14:textId="77777777" w:rsidR="000175AB" w:rsidRDefault="000175AB">
      <w:pPr>
        <w:pStyle w:val="BodyText"/>
        <w:spacing w:before="4"/>
        <w:rPr>
          <w:sz w:val="23"/>
        </w:rPr>
      </w:pPr>
    </w:p>
    <w:p w14:paraId="39DCB46A" w14:textId="77777777" w:rsidR="000175AB" w:rsidRDefault="00A81FF4">
      <w:pPr>
        <w:pStyle w:val="ListParagraph"/>
        <w:numPr>
          <w:ilvl w:val="0"/>
          <w:numId w:val="1"/>
        </w:numPr>
        <w:tabs>
          <w:tab w:val="left" w:pos="460"/>
        </w:tabs>
        <w:spacing w:before="1" w:line="235" w:lineRule="auto"/>
        <w:ind w:right="942"/>
        <w:rPr>
          <w:sz w:val="24"/>
        </w:rPr>
      </w:pPr>
      <w:r>
        <w:rPr>
          <w:sz w:val="24"/>
        </w:rPr>
        <w:t xml:space="preserve">Recognize whether </w:t>
      </w:r>
      <w:r>
        <w:rPr>
          <w:rFonts w:ascii="Symbol" w:hAnsi="Symbol"/>
          <w:sz w:val="24"/>
        </w:rPr>
        <w:t></w:t>
      </w:r>
      <w:r>
        <w:rPr>
          <w:sz w:val="24"/>
        </w:rPr>
        <w:t xml:space="preserve">S &gt;0 or &lt; </w:t>
      </w:r>
      <w:r>
        <w:rPr>
          <w:spacing w:val="-84"/>
          <w:sz w:val="24"/>
        </w:rPr>
        <w:t>0.</w:t>
      </w:r>
      <w:r>
        <w:rPr>
          <w:spacing w:val="-63"/>
          <w:sz w:val="24"/>
        </w:rPr>
        <w:t xml:space="preserve"> </w:t>
      </w:r>
      <w:r>
        <w:rPr>
          <w:sz w:val="24"/>
        </w:rPr>
        <w:t xml:space="preserve">Entropy increases, </w:t>
      </w:r>
      <w:r>
        <w:rPr>
          <w:rFonts w:ascii="Symbol" w:hAnsi="Symbol"/>
          <w:sz w:val="24"/>
        </w:rPr>
        <w:t></w:t>
      </w:r>
      <w:r>
        <w:rPr>
          <w:sz w:val="24"/>
        </w:rPr>
        <w:t xml:space="preserve">S +, </w:t>
      </w:r>
      <w:r>
        <w:rPr>
          <w:rFonts w:ascii="Symbol" w:hAnsi="Symbol"/>
          <w:sz w:val="24"/>
        </w:rPr>
        <w:t></w:t>
      </w:r>
      <w:r>
        <w:rPr>
          <w:sz w:val="24"/>
        </w:rPr>
        <w:t>S &gt; 0:</w:t>
      </w:r>
    </w:p>
    <w:p w14:paraId="63020991" w14:textId="77777777" w:rsidR="000175AB" w:rsidRDefault="00A81FF4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line="290" w:lineRule="exact"/>
        <w:rPr>
          <w:sz w:val="24"/>
        </w:rPr>
      </w:pPr>
      <w:r>
        <w:rPr>
          <w:sz w:val="24"/>
        </w:rPr>
        <w:t>from solid to liquid to</w:t>
      </w:r>
      <w:r>
        <w:rPr>
          <w:spacing w:val="-2"/>
          <w:sz w:val="24"/>
        </w:rPr>
        <w:t xml:space="preserve"> </w:t>
      </w:r>
      <w:r>
        <w:rPr>
          <w:sz w:val="24"/>
        </w:rPr>
        <w:t>gas</w:t>
      </w:r>
    </w:p>
    <w:p w14:paraId="6035EF51" w14:textId="77777777" w:rsidR="000175AB" w:rsidRDefault="00A81FF4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line="292" w:lineRule="exact"/>
        <w:rPr>
          <w:sz w:val="24"/>
        </w:rPr>
      </w:pPr>
      <w:r>
        <w:rPr>
          <w:sz w:val="24"/>
        </w:rPr>
        <w:t>fewer moles (g) to more moles</w:t>
      </w:r>
      <w:r>
        <w:rPr>
          <w:spacing w:val="-3"/>
          <w:sz w:val="24"/>
        </w:rPr>
        <w:t xml:space="preserve"> </w:t>
      </w:r>
      <w:r>
        <w:rPr>
          <w:sz w:val="24"/>
        </w:rPr>
        <w:t>(g)</w:t>
      </w:r>
    </w:p>
    <w:p w14:paraId="102AE8FF" w14:textId="77777777" w:rsidR="000175AB" w:rsidRDefault="00A81FF4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13" w:line="220" w:lineRule="auto"/>
        <w:ind w:right="345"/>
        <w:rPr>
          <w:sz w:val="24"/>
        </w:rPr>
      </w:pPr>
      <w:r>
        <w:rPr>
          <w:sz w:val="24"/>
        </w:rPr>
        <w:t>simpler molecules to more</w:t>
      </w:r>
      <w:r>
        <w:rPr>
          <w:spacing w:val="-5"/>
          <w:sz w:val="24"/>
        </w:rPr>
        <w:t xml:space="preserve"> </w:t>
      </w:r>
      <w:r>
        <w:rPr>
          <w:sz w:val="24"/>
        </w:rPr>
        <w:t>complex molecules</w:t>
      </w:r>
    </w:p>
    <w:p w14:paraId="593927B2" w14:textId="77777777" w:rsidR="000175AB" w:rsidRDefault="00A81FF4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14" w:line="296" w:lineRule="exact"/>
        <w:rPr>
          <w:sz w:val="24"/>
        </w:rPr>
      </w:pPr>
      <w:r>
        <w:rPr>
          <w:sz w:val="24"/>
        </w:rPr>
        <w:t>smaller molecules to longer</w:t>
      </w:r>
      <w:r>
        <w:rPr>
          <w:spacing w:val="-5"/>
          <w:sz w:val="24"/>
        </w:rPr>
        <w:t xml:space="preserve"> </w:t>
      </w:r>
      <w:r>
        <w:rPr>
          <w:sz w:val="24"/>
        </w:rPr>
        <w:t>molecules</w:t>
      </w:r>
    </w:p>
    <w:p w14:paraId="00B4C630" w14:textId="77777777" w:rsidR="000175AB" w:rsidRDefault="00A81FF4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13" w:line="220" w:lineRule="auto"/>
        <w:ind w:right="264"/>
        <w:rPr>
          <w:sz w:val="24"/>
        </w:rPr>
      </w:pPr>
      <w:r>
        <w:rPr>
          <w:sz w:val="24"/>
        </w:rPr>
        <w:t>ionic solids with strong attractions to ionic solids with weaker</w:t>
      </w:r>
      <w:r>
        <w:rPr>
          <w:spacing w:val="-2"/>
          <w:sz w:val="24"/>
        </w:rPr>
        <w:t xml:space="preserve"> </w:t>
      </w:r>
      <w:r>
        <w:rPr>
          <w:sz w:val="24"/>
        </w:rPr>
        <w:t>attractions</w:t>
      </w:r>
    </w:p>
    <w:p w14:paraId="3223CFD8" w14:textId="77777777" w:rsidR="000175AB" w:rsidRDefault="00A81FF4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14" w:line="296" w:lineRule="exact"/>
        <w:rPr>
          <w:sz w:val="24"/>
        </w:rPr>
      </w:pPr>
      <w:r>
        <w:rPr>
          <w:sz w:val="24"/>
        </w:rPr>
        <w:t>separate solute &amp; solvent to</w:t>
      </w:r>
      <w:r>
        <w:rPr>
          <w:spacing w:val="-3"/>
          <w:sz w:val="24"/>
        </w:rPr>
        <w:t xml:space="preserve"> </w:t>
      </w:r>
      <w:r>
        <w:rPr>
          <w:sz w:val="24"/>
        </w:rPr>
        <w:t>solutions</w:t>
      </w:r>
    </w:p>
    <w:p w14:paraId="22E951FC" w14:textId="77777777" w:rsidR="000175AB" w:rsidRDefault="00A81FF4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line="296" w:lineRule="exact"/>
        <w:rPr>
          <w:sz w:val="24"/>
        </w:rPr>
      </w:pPr>
      <w:r>
        <w:rPr>
          <w:sz w:val="24"/>
        </w:rPr>
        <w:t>gas dissolved in water to escaped</w:t>
      </w:r>
      <w:r>
        <w:rPr>
          <w:spacing w:val="-5"/>
          <w:sz w:val="24"/>
        </w:rPr>
        <w:t xml:space="preserve"> </w:t>
      </w:r>
      <w:r>
        <w:rPr>
          <w:sz w:val="24"/>
        </w:rPr>
        <w:t>gas</w:t>
      </w:r>
    </w:p>
    <w:p w14:paraId="6BFAFE95" w14:textId="77777777" w:rsidR="000175AB" w:rsidRDefault="000175AB">
      <w:pPr>
        <w:pStyle w:val="BodyText"/>
        <w:rPr>
          <w:sz w:val="28"/>
        </w:rPr>
      </w:pPr>
    </w:p>
    <w:p w14:paraId="17058E02" w14:textId="57F54DFD" w:rsidR="000175AB" w:rsidRDefault="000A599E">
      <w:pPr>
        <w:pStyle w:val="ListParagraph"/>
        <w:numPr>
          <w:ilvl w:val="0"/>
          <w:numId w:val="1"/>
        </w:numPr>
        <w:tabs>
          <w:tab w:val="left" w:pos="460"/>
        </w:tabs>
        <w:spacing w:before="201" w:line="249" w:lineRule="auto"/>
        <w:ind w:right="316"/>
        <w:rPr>
          <w:sz w:val="24"/>
        </w:rPr>
      </w:pPr>
      <w:r>
        <w:pict w14:anchorId="39149C4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48.35pt;margin-top:38.8pt;width:215.55pt;height:125.25pt;z-index:251657728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74"/>
                    <w:gridCol w:w="525"/>
                    <w:gridCol w:w="3199"/>
                  </w:tblGrid>
                  <w:tr w:rsidR="000175AB" w14:paraId="473F502C" w14:textId="77777777">
                    <w:trPr>
                      <w:trHeight w:val="293"/>
                    </w:trPr>
                    <w:tc>
                      <w:tcPr>
                        <w:tcW w:w="574" w:type="dxa"/>
                      </w:tcPr>
                      <w:p w14:paraId="06E4EAB8" w14:textId="77777777" w:rsidR="000175AB" w:rsidRDefault="00A81FF4">
                        <w:pPr>
                          <w:pStyle w:val="TableParagraph"/>
                          <w:spacing w:before="9" w:line="264" w:lineRule="exact"/>
                          <w:ind w:left="12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</w:t>
                        </w:r>
                        <w:r>
                          <w:rPr>
                            <w:b/>
                            <w:sz w:val="24"/>
                          </w:rPr>
                          <w:t>H</w:t>
                        </w:r>
                      </w:p>
                    </w:tc>
                    <w:tc>
                      <w:tcPr>
                        <w:tcW w:w="525" w:type="dxa"/>
                      </w:tcPr>
                      <w:p w14:paraId="170D3B5C" w14:textId="77777777" w:rsidR="000175AB" w:rsidRDefault="00A81FF4">
                        <w:pPr>
                          <w:pStyle w:val="TableParagraph"/>
                          <w:spacing w:before="9" w:line="264" w:lineRule="exact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</w:t>
                        </w:r>
                        <w:r>
                          <w:rPr>
                            <w:b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3199" w:type="dxa"/>
                      </w:tcPr>
                      <w:p w14:paraId="71AAF9D5" w14:textId="77777777" w:rsidR="000175AB" w:rsidRDefault="00A81FF4">
                        <w:pPr>
                          <w:pStyle w:val="TableParagraph"/>
                          <w:spacing w:before="3" w:line="270" w:lineRule="exact"/>
                          <w:ind w:left="369" w:right="36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Product-Favored…</w:t>
                        </w:r>
                      </w:p>
                    </w:tc>
                  </w:tr>
                  <w:tr w:rsidR="000175AB" w14:paraId="7475DD88" w14:textId="77777777">
                    <w:trPr>
                      <w:trHeight w:val="441"/>
                    </w:trPr>
                    <w:tc>
                      <w:tcPr>
                        <w:tcW w:w="574" w:type="dxa"/>
                      </w:tcPr>
                      <w:p w14:paraId="62F3821F" w14:textId="77777777" w:rsidR="000175AB" w:rsidRDefault="00A81FF4">
                        <w:pPr>
                          <w:pStyle w:val="TableParagraph"/>
                          <w:ind w:left="187"/>
                          <w:rPr>
                            <w:rFonts w:ascii="Symbol" w:hAnsi="Symbol"/>
                            <w:sz w:val="36"/>
                          </w:rPr>
                        </w:pPr>
                        <w:r>
                          <w:rPr>
                            <w:rFonts w:ascii="Symbol" w:hAnsi="Symbol"/>
                            <w:w w:val="91"/>
                            <w:sz w:val="36"/>
                          </w:rPr>
                          <w:t></w:t>
                        </w:r>
                      </w:p>
                    </w:tc>
                    <w:tc>
                      <w:tcPr>
                        <w:tcW w:w="525" w:type="dxa"/>
                      </w:tcPr>
                      <w:p w14:paraId="32D3CCCF" w14:textId="77777777" w:rsidR="000175AB" w:rsidRDefault="00A81FF4">
                        <w:pPr>
                          <w:pStyle w:val="TableParagraph"/>
                          <w:rPr>
                            <w:rFonts w:ascii="Symbol" w:hAnsi="Symbol"/>
                            <w:sz w:val="36"/>
                          </w:rPr>
                        </w:pPr>
                        <w:r>
                          <w:rPr>
                            <w:rFonts w:ascii="Symbol" w:hAnsi="Symbol"/>
                            <w:w w:val="91"/>
                            <w:sz w:val="36"/>
                          </w:rPr>
                          <w:t></w:t>
                        </w:r>
                      </w:p>
                    </w:tc>
                    <w:tc>
                      <w:tcPr>
                        <w:tcW w:w="3199" w:type="dxa"/>
                      </w:tcPr>
                      <w:p w14:paraId="0264EA1C" w14:textId="77777777" w:rsidR="000175AB" w:rsidRDefault="00A81FF4">
                        <w:pPr>
                          <w:pStyle w:val="TableParagraph"/>
                          <w:spacing w:before="77" w:line="240" w:lineRule="auto"/>
                          <w:ind w:left="370" w:right="36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at higher temperatures</w:t>
                        </w:r>
                      </w:p>
                    </w:tc>
                  </w:tr>
                  <w:tr w:rsidR="000175AB" w14:paraId="3C29A0D7" w14:textId="77777777">
                    <w:trPr>
                      <w:trHeight w:val="441"/>
                    </w:trPr>
                    <w:tc>
                      <w:tcPr>
                        <w:tcW w:w="574" w:type="dxa"/>
                      </w:tcPr>
                      <w:p w14:paraId="68C08E70" w14:textId="77777777" w:rsidR="000175AB" w:rsidRDefault="00A81FF4">
                        <w:pPr>
                          <w:pStyle w:val="TableParagraph"/>
                          <w:ind w:left="187"/>
                          <w:rPr>
                            <w:rFonts w:ascii="Symbol" w:hAnsi="Symbol"/>
                            <w:sz w:val="36"/>
                          </w:rPr>
                        </w:pPr>
                        <w:r>
                          <w:rPr>
                            <w:rFonts w:ascii="Symbol" w:hAnsi="Symbol"/>
                            <w:w w:val="91"/>
                            <w:sz w:val="36"/>
                          </w:rPr>
                          <w:t></w:t>
                        </w:r>
                      </w:p>
                    </w:tc>
                    <w:tc>
                      <w:tcPr>
                        <w:tcW w:w="525" w:type="dxa"/>
                      </w:tcPr>
                      <w:p w14:paraId="3E253BF9" w14:textId="77777777" w:rsidR="000175AB" w:rsidRDefault="00A81FF4">
                        <w:pPr>
                          <w:pStyle w:val="TableParagraph"/>
                          <w:rPr>
                            <w:rFonts w:ascii="Symbol" w:hAnsi="Symbol"/>
                            <w:sz w:val="36"/>
                          </w:rPr>
                        </w:pPr>
                        <w:r>
                          <w:rPr>
                            <w:rFonts w:ascii="Symbol" w:hAnsi="Symbol"/>
                            <w:w w:val="91"/>
                            <w:sz w:val="36"/>
                          </w:rPr>
                          <w:t></w:t>
                        </w:r>
                      </w:p>
                    </w:tc>
                    <w:tc>
                      <w:tcPr>
                        <w:tcW w:w="3199" w:type="dxa"/>
                      </w:tcPr>
                      <w:p w14:paraId="357A9EC4" w14:textId="77777777" w:rsidR="000175AB" w:rsidRDefault="00A81FF4">
                        <w:pPr>
                          <w:pStyle w:val="TableParagraph"/>
                          <w:spacing w:before="77" w:line="240" w:lineRule="auto"/>
                          <w:ind w:left="370" w:right="36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at lower temperatures</w:t>
                        </w:r>
                      </w:p>
                    </w:tc>
                  </w:tr>
                  <w:tr w:rsidR="000175AB" w14:paraId="0B40C48A" w14:textId="77777777">
                    <w:trPr>
                      <w:trHeight w:val="441"/>
                    </w:trPr>
                    <w:tc>
                      <w:tcPr>
                        <w:tcW w:w="574" w:type="dxa"/>
                      </w:tcPr>
                      <w:p w14:paraId="240C3791" w14:textId="77777777" w:rsidR="000175AB" w:rsidRDefault="00A81FF4">
                        <w:pPr>
                          <w:pStyle w:val="TableParagraph"/>
                          <w:ind w:left="187"/>
                          <w:rPr>
                            <w:rFonts w:ascii="Symbol" w:hAnsi="Symbol"/>
                            <w:sz w:val="36"/>
                          </w:rPr>
                        </w:pPr>
                        <w:r>
                          <w:rPr>
                            <w:rFonts w:ascii="Symbol" w:hAnsi="Symbol"/>
                            <w:w w:val="91"/>
                            <w:sz w:val="36"/>
                          </w:rPr>
                          <w:t></w:t>
                        </w:r>
                      </w:p>
                    </w:tc>
                    <w:tc>
                      <w:tcPr>
                        <w:tcW w:w="525" w:type="dxa"/>
                      </w:tcPr>
                      <w:p w14:paraId="03BC78E4" w14:textId="77777777" w:rsidR="000175AB" w:rsidRDefault="00A81FF4">
                        <w:pPr>
                          <w:pStyle w:val="TableParagraph"/>
                          <w:rPr>
                            <w:rFonts w:ascii="Symbol" w:hAnsi="Symbol"/>
                            <w:sz w:val="36"/>
                          </w:rPr>
                        </w:pPr>
                        <w:r>
                          <w:rPr>
                            <w:rFonts w:ascii="Symbol" w:hAnsi="Symbol"/>
                            <w:w w:val="91"/>
                            <w:sz w:val="36"/>
                          </w:rPr>
                          <w:t></w:t>
                        </w:r>
                      </w:p>
                    </w:tc>
                    <w:tc>
                      <w:tcPr>
                        <w:tcW w:w="3199" w:type="dxa"/>
                      </w:tcPr>
                      <w:p w14:paraId="707673AE" w14:textId="77777777" w:rsidR="000175AB" w:rsidRDefault="00A81FF4">
                        <w:pPr>
                          <w:pStyle w:val="TableParagraph"/>
                          <w:spacing w:before="77" w:line="240" w:lineRule="auto"/>
                          <w:ind w:left="370" w:right="36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at all temperatures</w:t>
                        </w:r>
                      </w:p>
                    </w:tc>
                  </w:tr>
                  <w:tr w:rsidR="000175AB" w14:paraId="38D487D4" w14:textId="77777777">
                    <w:trPr>
                      <w:trHeight w:val="827"/>
                    </w:trPr>
                    <w:tc>
                      <w:tcPr>
                        <w:tcW w:w="574" w:type="dxa"/>
                      </w:tcPr>
                      <w:p w14:paraId="4EC08C04" w14:textId="77777777" w:rsidR="000175AB" w:rsidRDefault="00A81FF4">
                        <w:pPr>
                          <w:pStyle w:val="TableParagraph"/>
                          <w:spacing w:before="256" w:line="240" w:lineRule="auto"/>
                          <w:ind w:left="187"/>
                          <w:rPr>
                            <w:rFonts w:ascii="Symbol" w:hAnsi="Symbol"/>
                            <w:sz w:val="36"/>
                          </w:rPr>
                        </w:pPr>
                        <w:r>
                          <w:rPr>
                            <w:rFonts w:ascii="Symbol" w:hAnsi="Symbol"/>
                            <w:w w:val="91"/>
                            <w:sz w:val="36"/>
                          </w:rPr>
                          <w:t></w:t>
                        </w:r>
                      </w:p>
                    </w:tc>
                    <w:tc>
                      <w:tcPr>
                        <w:tcW w:w="525" w:type="dxa"/>
                      </w:tcPr>
                      <w:p w14:paraId="4BC863E6" w14:textId="77777777" w:rsidR="000175AB" w:rsidRDefault="00A81FF4">
                        <w:pPr>
                          <w:pStyle w:val="TableParagraph"/>
                          <w:spacing w:before="256" w:line="240" w:lineRule="auto"/>
                          <w:rPr>
                            <w:rFonts w:ascii="Symbol" w:hAnsi="Symbol"/>
                            <w:sz w:val="36"/>
                          </w:rPr>
                        </w:pPr>
                        <w:r>
                          <w:rPr>
                            <w:rFonts w:ascii="Symbol" w:hAnsi="Symbol"/>
                            <w:w w:val="91"/>
                            <w:sz w:val="36"/>
                          </w:rPr>
                          <w:t></w:t>
                        </w:r>
                      </w:p>
                    </w:tc>
                    <w:tc>
                      <w:tcPr>
                        <w:tcW w:w="3199" w:type="dxa"/>
                      </w:tcPr>
                      <w:p w14:paraId="61AD3E5A" w14:textId="77777777" w:rsidR="000175AB" w:rsidRDefault="00A81FF4">
                        <w:pPr>
                          <w:pStyle w:val="TableParagraph"/>
                          <w:spacing w:before="0" w:line="235" w:lineRule="auto"/>
                          <w:ind w:left="397" w:right="387" w:firstLine="9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never (reactant-favored at all</w:t>
                        </w:r>
                      </w:p>
                      <w:p w14:paraId="4E3DEDB1" w14:textId="77777777" w:rsidR="000175AB" w:rsidRDefault="00A81FF4">
                        <w:pPr>
                          <w:pStyle w:val="TableParagraph"/>
                          <w:spacing w:before="0" w:line="255" w:lineRule="exact"/>
                          <w:ind w:left="370" w:right="3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temps)</w:t>
                        </w:r>
                      </w:p>
                    </w:tc>
                  </w:tr>
                </w:tbl>
                <w:p w14:paraId="4C6B9267" w14:textId="77777777" w:rsidR="000175AB" w:rsidRDefault="000175A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A81FF4">
        <w:rPr>
          <w:sz w:val="24"/>
        </w:rPr>
        <w:t xml:space="preserve">Product or Reactant favored reactions depend on </w:t>
      </w:r>
      <w:r w:rsidR="00A81FF4">
        <w:rPr>
          <w:rFonts w:ascii="Symbol" w:hAnsi="Symbol"/>
          <w:sz w:val="24"/>
        </w:rPr>
        <w:t></w:t>
      </w:r>
      <w:r w:rsidR="00A81FF4">
        <w:rPr>
          <w:sz w:val="24"/>
        </w:rPr>
        <w:t xml:space="preserve">H, </w:t>
      </w:r>
      <w:r w:rsidR="00A81FF4">
        <w:rPr>
          <w:rFonts w:ascii="Symbol" w:hAnsi="Symbol"/>
          <w:sz w:val="24"/>
        </w:rPr>
        <w:t></w:t>
      </w:r>
      <w:r w:rsidR="00A81FF4">
        <w:rPr>
          <w:sz w:val="24"/>
        </w:rPr>
        <w:t>S, and absolute</w:t>
      </w:r>
      <w:r w:rsidR="00D43826">
        <w:rPr>
          <w:spacing w:val="3"/>
          <w:sz w:val="24"/>
        </w:rPr>
        <w:t xml:space="preserve"> Temp</w:t>
      </w:r>
    </w:p>
    <w:p w14:paraId="4B25A5F0" w14:textId="5DB1207C" w:rsidR="000175AB" w:rsidRDefault="00A81FF4">
      <w:pPr>
        <w:pStyle w:val="ListParagraph"/>
        <w:numPr>
          <w:ilvl w:val="0"/>
          <w:numId w:val="1"/>
        </w:numPr>
        <w:tabs>
          <w:tab w:val="left" w:pos="461"/>
        </w:tabs>
        <w:spacing w:before="94" w:line="235" w:lineRule="auto"/>
        <w:ind w:right="116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t>Many books use the term “spontaneous”</w:t>
      </w:r>
      <w:r>
        <w:rPr>
          <w:spacing w:val="-22"/>
          <w:sz w:val="24"/>
        </w:rPr>
        <w:t xml:space="preserve"> </w:t>
      </w:r>
      <w:r>
        <w:rPr>
          <w:sz w:val="24"/>
        </w:rPr>
        <w:t>for “product-favored.”</w:t>
      </w:r>
    </w:p>
    <w:p w14:paraId="7E5BBF67" w14:textId="77777777" w:rsidR="000175AB" w:rsidRDefault="000175AB">
      <w:pPr>
        <w:pStyle w:val="BodyText"/>
        <w:spacing w:before="5"/>
        <w:rPr>
          <w:sz w:val="23"/>
        </w:rPr>
      </w:pPr>
    </w:p>
    <w:p w14:paraId="20CABCBE" w14:textId="77777777" w:rsidR="000175AB" w:rsidRDefault="00A81FF4">
      <w:pPr>
        <w:pStyle w:val="BodyText"/>
        <w:spacing w:line="235" w:lineRule="auto"/>
        <w:ind w:left="460" w:right="563"/>
      </w:pPr>
      <w:r>
        <w:t>A spontaneous reaction does not necessarily mean a fast reaction.</w:t>
      </w:r>
    </w:p>
    <w:p w14:paraId="1CB79546" w14:textId="015B3BE6" w:rsidR="000175AB" w:rsidRDefault="00A81FF4">
      <w:pPr>
        <w:pStyle w:val="BodyText"/>
        <w:spacing w:line="235" w:lineRule="auto"/>
        <w:ind w:left="460" w:right="563"/>
      </w:pPr>
      <w:r>
        <w:t xml:space="preserve">The SPEED of a reaction is Kinetics (Ch </w:t>
      </w:r>
      <w:r w:rsidR="00D43826">
        <w:t>12</w:t>
      </w:r>
      <w:r>
        <w:t>)… we are discussing whether a reaction CAN OCCUR which is Thermodynamics (Ch 6 and Ch 1</w:t>
      </w:r>
      <w:r w:rsidR="00D43826">
        <w:t>8</w:t>
      </w:r>
      <w:r>
        <w:t>).</w:t>
      </w:r>
    </w:p>
    <w:p w14:paraId="49E66683" w14:textId="77777777" w:rsidR="000175AB" w:rsidRDefault="000175AB">
      <w:pPr>
        <w:pStyle w:val="BodyText"/>
        <w:rPr>
          <w:sz w:val="26"/>
        </w:rPr>
      </w:pPr>
    </w:p>
    <w:p w14:paraId="26F77F64" w14:textId="77777777" w:rsidR="000175AB" w:rsidRDefault="000175AB">
      <w:pPr>
        <w:pStyle w:val="BodyText"/>
        <w:spacing w:before="9"/>
        <w:rPr>
          <w:sz w:val="21"/>
        </w:rPr>
      </w:pPr>
    </w:p>
    <w:p w14:paraId="7FDEE3F5" w14:textId="77777777" w:rsidR="000175AB" w:rsidRDefault="00A81FF4">
      <w:pPr>
        <w:pStyle w:val="ListParagraph"/>
        <w:numPr>
          <w:ilvl w:val="0"/>
          <w:numId w:val="1"/>
        </w:numPr>
        <w:tabs>
          <w:tab w:val="left" w:pos="461"/>
        </w:tabs>
        <w:spacing w:line="297" w:lineRule="exact"/>
        <w:rPr>
          <w:sz w:val="24"/>
        </w:rPr>
      </w:pPr>
      <w:r>
        <w:rPr>
          <w:sz w:val="24"/>
        </w:rPr>
        <w:t xml:space="preserve">Gibbs Free Energy, </w:t>
      </w:r>
      <w:r>
        <w:rPr>
          <w:rFonts w:ascii="Symbol" w:hAnsi="Symbol"/>
          <w:sz w:val="24"/>
        </w:rPr>
        <w:t></w:t>
      </w:r>
      <w:r>
        <w:rPr>
          <w:sz w:val="24"/>
        </w:rPr>
        <w:t>G, puts the effects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</w:p>
    <w:p w14:paraId="24DC3CE5" w14:textId="77777777" w:rsidR="000175AB" w:rsidRDefault="00A81FF4">
      <w:pPr>
        <w:pStyle w:val="BodyText"/>
        <w:spacing w:line="297" w:lineRule="exact"/>
        <w:ind w:left="460"/>
      </w:pPr>
      <w:r>
        <w:rPr>
          <w:rFonts w:ascii="Symbol" w:hAnsi="Symbol"/>
        </w:rPr>
        <w:t></w:t>
      </w:r>
      <w:r>
        <w:t xml:space="preserve">H, </w:t>
      </w:r>
      <w:r>
        <w:rPr>
          <w:rFonts w:ascii="Symbol" w:hAnsi="Symbol"/>
        </w:rPr>
        <w:t></w:t>
      </w:r>
      <w:r>
        <w:t>S, and Temperature together.</w:t>
      </w:r>
    </w:p>
    <w:p w14:paraId="3018DFA7" w14:textId="77777777" w:rsidR="000175AB" w:rsidRDefault="000175AB">
      <w:pPr>
        <w:pStyle w:val="BodyText"/>
        <w:rPr>
          <w:sz w:val="23"/>
        </w:rPr>
      </w:pPr>
    </w:p>
    <w:p w14:paraId="4548E7EE" w14:textId="77777777" w:rsidR="000175AB" w:rsidRDefault="00A81FF4">
      <w:pPr>
        <w:pStyle w:val="BodyText"/>
        <w:ind w:left="753" w:right="734"/>
        <w:jc w:val="center"/>
      </w:pPr>
      <w:r>
        <w:rPr>
          <w:rFonts w:ascii="Symbol" w:hAnsi="Symbol"/>
        </w:rPr>
        <w:t></w:t>
      </w:r>
      <w:r>
        <w:t xml:space="preserve">G = </w:t>
      </w:r>
      <w:r>
        <w:rPr>
          <w:rFonts w:ascii="Symbol" w:hAnsi="Symbol"/>
        </w:rPr>
        <w:t></w:t>
      </w:r>
      <w:r>
        <w:t>H - T</w:t>
      </w:r>
      <w:r>
        <w:rPr>
          <w:rFonts w:ascii="Symbol" w:hAnsi="Symbol"/>
        </w:rPr>
        <w:t></w:t>
      </w:r>
      <w:r>
        <w:t>S</w:t>
      </w:r>
    </w:p>
    <w:p w14:paraId="18F65C45" w14:textId="77777777" w:rsidR="000175AB" w:rsidRDefault="000175AB">
      <w:pPr>
        <w:pStyle w:val="BodyText"/>
        <w:rPr>
          <w:sz w:val="23"/>
        </w:rPr>
      </w:pPr>
    </w:p>
    <w:p w14:paraId="3E3E8F7E" w14:textId="77777777" w:rsidR="000175AB" w:rsidRDefault="00A81FF4">
      <w:pPr>
        <w:pStyle w:val="BodyText"/>
        <w:spacing w:line="297" w:lineRule="exact"/>
        <w:ind w:left="460"/>
      </w:pPr>
      <w:r>
        <w:rPr>
          <w:rFonts w:ascii="Symbol" w:hAnsi="Symbol"/>
        </w:rPr>
        <w:t></w:t>
      </w:r>
      <w:r>
        <w:t xml:space="preserve">G&lt;0, </w:t>
      </w:r>
      <w:r>
        <w:rPr>
          <w:rFonts w:ascii="Symbol" w:hAnsi="Symbol"/>
        </w:rPr>
        <w:t></w:t>
      </w:r>
      <w:r>
        <w:t>G -, product-favored reaction</w:t>
      </w:r>
    </w:p>
    <w:p w14:paraId="0113B91B" w14:textId="77777777" w:rsidR="000175AB" w:rsidRDefault="00A81FF4">
      <w:pPr>
        <w:pStyle w:val="BodyText"/>
        <w:spacing w:line="294" w:lineRule="exact"/>
        <w:ind w:left="460"/>
      </w:pPr>
      <w:r>
        <w:rPr>
          <w:rFonts w:ascii="Symbol" w:hAnsi="Symbol"/>
        </w:rPr>
        <w:t></w:t>
      </w:r>
      <w:r>
        <w:t xml:space="preserve">G&gt;0, </w:t>
      </w:r>
      <w:r>
        <w:rPr>
          <w:rFonts w:ascii="Symbol" w:hAnsi="Symbol"/>
        </w:rPr>
        <w:t></w:t>
      </w:r>
      <w:r>
        <w:t>G +, reactant-favored reaction</w:t>
      </w:r>
    </w:p>
    <w:p w14:paraId="6CB0FC99" w14:textId="52EE4011" w:rsidR="000175AB" w:rsidRDefault="00A81FF4">
      <w:pPr>
        <w:pStyle w:val="BodyText"/>
        <w:spacing w:line="297" w:lineRule="exact"/>
        <w:ind w:left="753" w:right="1003"/>
        <w:jc w:val="center"/>
      </w:pPr>
      <w:r>
        <w:rPr>
          <w:rFonts w:ascii="Symbol" w:hAnsi="Symbol"/>
        </w:rPr>
        <w:t></w:t>
      </w:r>
      <w:r>
        <w:t>G=0, reaction is at equilibrium</w:t>
      </w:r>
    </w:p>
    <w:p w14:paraId="5CD777D6" w14:textId="4714C3C1" w:rsidR="000175AB" w:rsidRDefault="000175AB">
      <w:pPr>
        <w:pStyle w:val="BodyText"/>
        <w:rPr>
          <w:sz w:val="23"/>
        </w:rPr>
      </w:pPr>
    </w:p>
    <w:p w14:paraId="511D34AB" w14:textId="09059A64" w:rsidR="000175AB" w:rsidRDefault="00A81FF4">
      <w:pPr>
        <w:pStyle w:val="BodyText"/>
        <w:spacing w:line="297" w:lineRule="exact"/>
        <w:ind w:left="460"/>
      </w:pPr>
      <w:r>
        <w:t xml:space="preserve">Note that </w:t>
      </w:r>
      <w:r>
        <w:rPr>
          <w:rFonts w:ascii="Symbol" w:hAnsi="Symbol"/>
        </w:rPr>
        <w:t></w:t>
      </w:r>
      <w:r>
        <w:t>H is usually in kJ/mol</w:t>
      </w:r>
    </w:p>
    <w:p w14:paraId="687A5B7C" w14:textId="1F42C35F" w:rsidR="000175AB" w:rsidRDefault="00A81FF4">
      <w:pPr>
        <w:pStyle w:val="BodyText"/>
        <w:spacing w:line="297" w:lineRule="exact"/>
        <w:ind w:left="820"/>
      </w:pPr>
      <w:r>
        <w:rPr>
          <w:rFonts w:ascii="Symbol" w:hAnsi="Symbol"/>
        </w:rPr>
        <w:t></w:t>
      </w:r>
      <w:r>
        <w:t>S is usually in J/</w:t>
      </w:r>
      <w:proofErr w:type="spellStart"/>
      <w:r>
        <w:t>mol·K</w:t>
      </w:r>
      <w:proofErr w:type="spellEnd"/>
    </w:p>
    <w:p w14:paraId="329BDFDB" w14:textId="73474631" w:rsidR="00FE78E0" w:rsidRDefault="00FE78E0">
      <w:pPr>
        <w:pStyle w:val="BodyText"/>
        <w:spacing w:line="297" w:lineRule="exact"/>
        <w:ind w:left="820"/>
      </w:pPr>
    </w:p>
    <w:p w14:paraId="6F31FDBB" w14:textId="581C96C4" w:rsidR="00FE78E0" w:rsidRDefault="00FE78E0">
      <w:pPr>
        <w:pStyle w:val="BodyText"/>
        <w:spacing w:line="297" w:lineRule="exact"/>
        <w:ind w:left="820"/>
      </w:pPr>
    </w:p>
    <w:p w14:paraId="05484D1C" w14:textId="5EF97561" w:rsidR="00FE78E0" w:rsidRDefault="00FE78E0">
      <w:pPr>
        <w:pStyle w:val="BodyText"/>
        <w:spacing w:line="297" w:lineRule="exact"/>
        <w:ind w:left="820"/>
      </w:pPr>
    </w:p>
    <w:p w14:paraId="6A85A7C1" w14:textId="3EE00A8A" w:rsidR="00FE78E0" w:rsidRDefault="00FE78E0">
      <w:pPr>
        <w:pStyle w:val="BodyText"/>
        <w:spacing w:line="297" w:lineRule="exact"/>
        <w:ind w:left="820"/>
      </w:pPr>
    </w:p>
    <w:p w14:paraId="15610C1C" w14:textId="69C6360D" w:rsidR="00FE78E0" w:rsidRDefault="00FE78E0">
      <w:pPr>
        <w:pStyle w:val="BodyText"/>
        <w:spacing w:line="297" w:lineRule="exact"/>
        <w:ind w:left="820"/>
      </w:pPr>
    </w:p>
    <w:p w14:paraId="545E1A19" w14:textId="007E7856" w:rsidR="00FE78E0" w:rsidRDefault="00FE78E0">
      <w:pPr>
        <w:pStyle w:val="BodyText"/>
        <w:spacing w:line="297" w:lineRule="exact"/>
        <w:ind w:left="820"/>
      </w:pPr>
    </w:p>
    <w:p w14:paraId="05294269" w14:textId="502E08B7" w:rsidR="00FE78E0" w:rsidRDefault="00FE78E0">
      <w:pPr>
        <w:pStyle w:val="BodyText"/>
        <w:spacing w:line="297" w:lineRule="exact"/>
        <w:ind w:left="820"/>
      </w:pPr>
    </w:p>
    <w:p w14:paraId="6B5A29BA" w14:textId="7CFFC42B" w:rsidR="00FE78E0" w:rsidRDefault="00FE78E0">
      <w:pPr>
        <w:pStyle w:val="BodyText"/>
        <w:spacing w:line="297" w:lineRule="exact"/>
        <w:ind w:left="820"/>
      </w:pPr>
    </w:p>
    <w:p w14:paraId="7B15B2B5" w14:textId="0A75CB29" w:rsidR="00FE78E0" w:rsidRDefault="00FE78E0">
      <w:pPr>
        <w:pStyle w:val="BodyText"/>
        <w:spacing w:line="297" w:lineRule="exact"/>
        <w:ind w:left="820"/>
      </w:pPr>
    </w:p>
    <w:p w14:paraId="63FF8BAE" w14:textId="5D9E7D5B" w:rsidR="00FE78E0" w:rsidRDefault="00FE78E0">
      <w:pPr>
        <w:pStyle w:val="BodyText"/>
        <w:spacing w:line="297" w:lineRule="exact"/>
        <w:ind w:left="820"/>
      </w:pPr>
    </w:p>
    <w:p w14:paraId="243C0286" w14:textId="2D3988D3" w:rsidR="00FE78E0" w:rsidRDefault="00FE78E0">
      <w:pPr>
        <w:pStyle w:val="BodyText"/>
        <w:spacing w:line="297" w:lineRule="exact"/>
        <w:ind w:left="820"/>
      </w:pPr>
    </w:p>
    <w:p w14:paraId="1342DEB2" w14:textId="0766168E" w:rsidR="00FE78E0" w:rsidRDefault="00FE78E0">
      <w:pPr>
        <w:pStyle w:val="BodyText"/>
        <w:spacing w:line="297" w:lineRule="exact"/>
        <w:ind w:left="820"/>
      </w:pPr>
    </w:p>
    <w:p w14:paraId="727BE86D" w14:textId="16908933" w:rsidR="00FE78E0" w:rsidRDefault="00FE78E0">
      <w:pPr>
        <w:pStyle w:val="BodyText"/>
        <w:spacing w:line="297" w:lineRule="exact"/>
        <w:ind w:left="820"/>
      </w:pPr>
    </w:p>
    <w:p w14:paraId="41EC16B6" w14:textId="30F5F5C9" w:rsidR="00FE78E0" w:rsidRDefault="00FE78E0">
      <w:pPr>
        <w:pStyle w:val="BodyText"/>
        <w:spacing w:line="297" w:lineRule="exact"/>
        <w:ind w:left="820"/>
      </w:pPr>
    </w:p>
    <w:p w14:paraId="634550D7" w14:textId="458EC8A9" w:rsidR="00FE78E0" w:rsidRDefault="00FE78E0">
      <w:pPr>
        <w:pStyle w:val="BodyText"/>
        <w:spacing w:line="297" w:lineRule="exact"/>
        <w:ind w:left="820"/>
      </w:pPr>
    </w:p>
    <w:p w14:paraId="7D9CB884" w14:textId="178C6201" w:rsidR="00FE78E0" w:rsidRDefault="00FE78E0">
      <w:pPr>
        <w:pStyle w:val="BodyText"/>
        <w:spacing w:line="297" w:lineRule="exact"/>
        <w:ind w:left="820"/>
      </w:pPr>
    </w:p>
    <w:p w14:paraId="6E2B8050" w14:textId="63C0241C" w:rsidR="00FE78E0" w:rsidRDefault="00FE78E0">
      <w:pPr>
        <w:pStyle w:val="BodyText"/>
        <w:spacing w:line="297" w:lineRule="exact"/>
        <w:ind w:left="820"/>
      </w:pPr>
    </w:p>
    <w:p w14:paraId="43723B84" w14:textId="25F7BDCD" w:rsidR="00FE78E0" w:rsidRDefault="00FE78E0">
      <w:pPr>
        <w:pStyle w:val="BodyText"/>
        <w:spacing w:line="297" w:lineRule="exact"/>
        <w:ind w:left="820"/>
      </w:pPr>
    </w:p>
    <w:p w14:paraId="1C987404" w14:textId="1FA782D7" w:rsidR="00FE78E0" w:rsidRDefault="00FE78E0">
      <w:pPr>
        <w:pStyle w:val="BodyText"/>
        <w:spacing w:line="297" w:lineRule="exact"/>
        <w:ind w:left="820"/>
      </w:pPr>
    </w:p>
    <w:p w14:paraId="78532D39" w14:textId="29FAC99C" w:rsidR="00FE78E0" w:rsidRDefault="00FE78E0">
      <w:pPr>
        <w:pStyle w:val="BodyText"/>
        <w:spacing w:line="297" w:lineRule="exact"/>
        <w:ind w:left="820"/>
      </w:pPr>
    </w:p>
    <w:p w14:paraId="151540B6" w14:textId="6B605431" w:rsidR="00FE78E0" w:rsidRDefault="00FE78E0">
      <w:pPr>
        <w:pStyle w:val="BodyText"/>
        <w:spacing w:line="297" w:lineRule="exact"/>
        <w:ind w:left="820"/>
      </w:pPr>
    </w:p>
    <w:p w14:paraId="698ABFFA" w14:textId="0AF3D47B" w:rsidR="00FE78E0" w:rsidRDefault="00FE78E0">
      <w:pPr>
        <w:pStyle w:val="BodyText"/>
        <w:spacing w:line="297" w:lineRule="exact"/>
        <w:ind w:left="820"/>
      </w:pPr>
    </w:p>
    <w:p w14:paraId="472B336C" w14:textId="5F608DAD" w:rsidR="00FE78E0" w:rsidRDefault="00FE78E0">
      <w:pPr>
        <w:pStyle w:val="BodyText"/>
        <w:spacing w:line="297" w:lineRule="exact"/>
        <w:ind w:left="820"/>
      </w:pPr>
    </w:p>
    <w:p w14:paraId="1627FEB7" w14:textId="1763764B" w:rsidR="00FE78E0" w:rsidRDefault="00FE78E0">
      <w:pPr>
        <w:pStyle w:val="BodyText"/>
        <w:spacing w:line="297" w:lineRule="exact"/>
        <w:ind w:left="820"/>
      </w:pPr>
    </w:p>
    <w:p w14:paraId="5DBDDD7B" w14:textId="57E6A767" w:rsidR="00FE78E0" w:rsidRDefault="00FE78E0">
      <w:pPr>
        <w:pStyle w:val="BodyText"/>
        <w:spacing w:line="297" w:lineRule="exact"/>
        <w:ind w:left="820"/>
      </w:pPr>
    </w:p>
    <w:p w14:paraId="2BDC3E6D" w14:textId="07B99B49" w:rsidR="00FE78E0" w:rsidRDefault="000A599E">
      <w:pPr>
        <w:pStyle w:val="BodyText"/>
        <w:spacing w:line="297" w:lineRule="exact"/>
        <w:ind w:left="820"/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5408" behindDoc="0" locked="0" layoutInCell="1" allowOverlap="1" wp14:anchorId="026D04D0" wp14:editId="4E68C331">
            <wp:simplePos x="0" y="0"/>
            <wp:positionH relativeFrom="column">
              <wp:posOffset>2921000</wp:posOffset>
            </wp:positionH>
            <wp:positionV relativeFrom="paragraph">
              <wp:posOffset>174625</wp:posOffset>
            </wp:positionV>
            <wp:extent cx="3962400" cy="276218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762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599E">
        <w:drawing>
          <wp:anchor distT="0" distB="0" distL="114300" distR="114300" simplePos="0" relativeHeight="251658240" behindDoc="0" locked="0" layoutInCell="1" allowOverlap="1" wp14:anchorId="79922B30" wp14:editId="744DCA71">
            <wp:simplePos x="0" y="0"/>
            <wp:positionH relativeFrom="column">
              <wp:posOffset>-60960</wp:posOffset>
            </wp:positionH>
            <wp:positionV relativeFrom="paragraph">
              <wp:posOffset>22290</wp:posOffset>
            </wp:positionV>
            <wp:extent cx="3095718" cy="2162175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718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BF27B6" w14:textId="600953D0" w:rsidR="00FE78E0" w:rsidRDefault="00FE78E0">
      <w:pPr>
        <w:pStyle w:val="BodyText"/>
        <w:spacing w:line="297" w:lineRule="exact"/>
        <w:ind w:left="820"/>
      </w:pPr>
    </w:p>
    <w:p w14:paraId="2E228076" w14:textId="2CB2D072" w:rsidR="00FE78E0" w:rsidRDefault="00FE78E0">
      <w:pPr>
        <w:pStyle w:val="BodyText"/>
        <w:spacing w:line="297" w:lineRule="exact"/>
        <w:ind w:left="820"/>
      </w:pPr>
    </w:p>
    <w:p w14:paraId="2C28DA68" w14:textId="653D5B6E" w:rsidR="00FE78E0" w:rsidRDefault="00FE78E0">
      <w:pPr>
        <w:pStyle w:val="BodyText"/>
        <w:spacing w:line="297" w:lineRule="exact"/>
        <w:ind w:left="820"/>
      </w:pPr>
    </w:p>
    <w:p w14:paraId="246BCB4D" w14:textId="15BD9CAE" w:rsidR="00FE78E0" w:rsidRDefault="00FE78E0">
      <w:pPr>
        <w:pStyle w:val="BodyText"/>
        <w:spacing w:line="297" w:lineRule="exact"/>
        <w:ind w:left="820"/>
      </w:pPr>
    </w:p>
    <w:p w14:paraId="33D99BA2" w14:textId="47C33F21" w:rsidR="00FE78E0" w:rsidRDefault="00FE78E0">
      <w:pPr>
        <w:pStyle w:val="BodyText"/>
        <w:spacing w:line="297" w:lineRule="exact"/>
        <w:ind w:left="820"/>
      </w:pPr>
      <w:bookmarkStart w:id="0" w:name="_GoBack"/>
      <w:bookmarkEnd w:id="0"/>
    </w:p>
    <w:sectPr w:rsidR="00FE78E0" w:rsidSect="00D43826">
      <w:type w:val="continuous"/>
      <w:pgSz w:w="12240" w:h="15840"/>
      <w:pgMar w:top="640" w:right="640" w:bottom="280" w:left="62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F348B"/>
    <w:multiLevelType w:val="hybridMultilevel"/>
    <w:tmpl w:val="F4643B74"/>
    <w:lvl w:ilvl="0" w:tplc="47E200DE">
      <w:start w:val="1"/>
      <w:numFmt w:val="decimal"/>
      <w:lvlText w:val="%1."/>
      <w:lvlJc w:val="left"/>
      <w:pPr>
        <w:ind w:left="460" w:hanging="360"/>
      </w:pPr>
      <w:rPr>
        <w:rFonts w:ascii="Helvetica" w:eastAsia="Helvetica" w:hAnsi="Helvetica" w:cs="Helvetica" w:hint="default"/>
        <w:spacing w:val="-2"/>
        <w:w w:val="99"/>
        <w:sz w:val="24"/>
        <w:szCs w:val="24"/>
        <w:lang w:val="en-US" w:eastAsia="en-US" w:bidi="en-US"/>
      </w:rPr>
    </w:lvl>
    <w:lvl w:ilvl="1" w:tplc="C52E0BA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76"/>
        <w:sz w:val="24"/>
        <w:szCs w:val="24"/>
        <w:lang w:val="en-US" w:eastAsia="en-US" w:bidi="en-US"/>
      </w:rPr>
    </w:lvl>
    <w:lvl w:ilvl="2" w:tplc="7A163206">
      <w:numFmt w:val="bullet"/>
      <w:lvlText w:val="•"/>
      <w:lvlJc w:val="left"/>
      <w:pPr>
        <w:ind w:left="1276" w:hanging="360"/>
      </w:pPr>
      <w:rPr>
        <w:rFonts w:hint="default"/>
        <w:lang w:val="en-US" w:eastAsia="en-US" w:bidi="en-US"/>
      </w:rPr>
    </w:lvl>
    <w:lvl w:ilvl="3" w:tplc="7124CF12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en-US"/>
      </w:rPr>
    </w:lvl>
    <w:lvl w:ilvl="4" w:tplc="6C64BE56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en-US"/>
      </w:rPr>
    </w:lvl>
    <w:lvl w:ilvl="5" w:tplc="5CEC392E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en-US"/>
      </w:rPr>
    </w:lvl>
    <w:lvl w:ilvl="6" w:tplc="01E4DEF6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en-US"/>
      </w:rPr>
    </w:lvl>
    <w:lvl w:ilvl="7" w:tplc="3558E5D2">
      <w:numFmt w:val="bullet"/>
      <w:lvlText w:val="•"/>
      <w:lvlJc w:val="left"/>
      <w:pPr>
        <w:ind w:left="3558" w:hanging="360"/>
      </w:pPr>
      <w:rPr>
        <w:rFonts w:hint="default"/>
        <w:lang w:val="en-US" w:eastAsia="en-US" w:bidi="en-US"/>
      </w:rPr>
    </w:lvl>
    <w:lvl w:ilvl="8" w:tplc="2B4EBBF4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175AB"/>
    <w:rsid w:val="000175AB"/>
    <w:rsid w:val="000A599E"/>
    <w:rsid w:val="00A81FF4"/>
    <w:rsid w:val="00D43826"/>
    <w:rsid w:val="00FD229C"/>
    <w:rsid w:val="00F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BC9C4FF"/>
  <w15:docId w15:val="{7D044946-DFF3-084D-83AA-29AC04EA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" w:eastAsia="Helvetica" w:hAnsi="Helvetica" w:cs="Helvetica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63" w:line="358" w:lineRule="exact"/>
      <w:ind w:left="161"/>
    </w:pPr>
  </w:style>
  <w:style w:type="paragraph" w:styleId="PlainText">
    <w:name w:val="Plain Text"/>
    <w:basedOn w:val="Normal"/>
    <w:link w:val="PlainTextChar"/>
    <w:rsid w:val="00D43826"/>
    <w:pPr>
      <w:widowControl/>
      <w:autoSpaceDE/>
      <w:autoSpaceDN/>
      <w:ind w:left="360" w:hanging="360"/>
    </w:pPr>
    <w:rPr>
      <w:rFonts w:ascii="Times New Roman" w:eastAsia="MS Mincho" w:hAnsi="Times New Roman" w:cs="Times New Roman"/>
      <w:sz w:val="24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D43826"/>
    <w:rPr>
      <w:rFonts w:ascii="Times New Roman" w:eastAsia="MS Mincho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PLACEMENT CHEMISTRY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PLACEMENT CHEMISTRY</dc:title>
  <dc:creator>Paul Groves</dc:creator>
  <cp:lastModifiedBy>Farmer, Stephanie [DH]</cp:lastModifiedBy>
  <cp:revision>4</cp:revision>
  <dcterms:created xsi:type="dcterms:W3CDTF">2020-04-22T19:20:00Z</dcterms:created>
  <dcterms:modified xsi:type="dcterms:W3CDTF">2020-05-14T16:54:00Z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2008-09-18T00:00:00Z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2020-04-16T00:00:00Z</vt:filetime>
  </property>
</Properties>
</file>