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7.13 pH and Solubility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</w:t>
        </w:r>
      </w:hyperlink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generic neutralization reaction?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ion should you think about when you are told a solution has been acidified? What ion is associated with a base or alkaline solutions?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You know that opposite charges _______. When you have a solution with acidic or basic ions in it, meaning the solution has a pH other than 7, watch out, these ions will bond with ions from the salt - essentially reducing their concentration and shifting the reaction. 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Ex: BaF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2(s)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↔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Ba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2+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+ 2F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Predict what will happen in an acidic solution?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138157</wp:posOffset>
            </wp:positionV>
            <wp:extent cx="1836484" cy="1355622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6484" cy="1355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Check: The concentration of fluoride ion decreases, shifting the reaction in the forward direction, increasing solubility. Fluoride ion decreases because it bonds with H+ ions, forming a weak acid. Evaluate your prediction.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Ex: AgI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(s)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↔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Ag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+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+ I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Predict what will happen in an acidic solution?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3194963</wp:posOffset>
            </wp:positionH>
            <wp:positionV relativeFrom="paragraph">
              <wp:posOffset>114300</wp:posOffset>
            </wp:positionV>
            <wp:extent cx="3139162" cy="2448925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9162" cy="2448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Check: Evaluate your prediction.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194866</wp:posOffset>
            </wp:positionV>
            <wp:extent cx="227042" cy="227042"/>
            <wp:effectExtent b="0" l="0" r="0" t="0"/>
            <wp:wrapSquare wrapText="bothSides" distB="0" distT="0" distL="0" distR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answer to the following question.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209550</wp:posOffset>
            </wp:positionV>
            <wp:extent cx="5943600" cy="876300"/>
            <wp:effectExtent b="0" l="0" r="0" t="0"/>
            <wp:wrapSquare wrapText="bothSides" distB="0" distT="0" distL="0" distR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-261937</wp:posOffset>
            </wp:positionH>
            <wp:positionV relativeFrom="paragraph">
              <wp:posOffset>195218</wp:posOffset>
            </wp:positionV>
            <wp:extent cx="448408" cy="228600"/>
            <wp:effectExtent b="0" l="0" r="0" t="0"/>
            <wp:wrapSquare wrapText="bothSides" distB="0" distT="0" distL="0" distR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408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5840" w:w="12240" w:orient="portrait"/>
      <w:pgMar w:bottom="1440" w:top="81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cw2lf3833j" TargetMode="External"/><Relationship Id="rId8" Type="http://schemas.openxmlformats.org/officeDocument/2006/relationships/hyperlink" Target="https://apclassroom.collegeboard.org/7/home?apd=cw2lf3833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