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9.6 Coupled Reactions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are two ways to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u w:val="single"/>
          <w:rtl w:val="0"/>
        </w:rPr>
        <w:t xml:space="preserve">force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 thermodynamically unfavorable (ΔG=positive) reaction to occur?</w:t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meant by a coupled reaction?</w:t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2247900</wp:posOffset>
            </wp:positionH>
            <wp:positionV relativeFrom="paragraph">
              <wp:posOffset>223882</wp:posOffset>
            </wp:positionV>
            <wp:extent cx="3896146" cy="1398617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6146" cy="13986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Explain how you can use the technique of Hess’s Law to obtain an overall ΔG that is negative in this problem. </w:t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2162175</wp:posOffset>
            </wp:positionH>
            <wp:positionV relativeFrom="paragraph">
              <wp:posOffset>285486</wp:posOffset>
            </wp:positionV>
            <wp:extent cx="4210050" cy="19050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295363</wp:posOffset>
            </wp:positionV>
            <wp:extent cx="4100402" cy="24582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402" cy="2458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256088</wp:posOffset>
            </wp:positionV>
            <wp:extent cx="3233738" cy="891351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3738" cy="89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27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well did you do on the second problem? </w:t>
      </w:r>
    </w:p>
    <w:sectPr>
      <w:headerReference r:id="rId12" w:type="default"/>
      <w:headerReference r:id="rId13" w:type="first"/>
      <w:footerReference r:id="rId14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h5b8dyv1dm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