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8.3 Weak Acid and Base Equilibria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533400</wp:posOffset>
            </wp:positionH>
            <wp:positionV relativeFrom="paragraph">
              <wp:posOffset>14243</wp:posOffset>
            </wp:positionV>
            <wp:extent cx="5943600" cy="393700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Explain why percent ionization increases as molarity decreases (due to dilution) in terms of Le Châtelier’s Principle.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9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181063</wp:posOffset>
            </wp:positionV>
            <wp:extent cx="3833813" cy="565242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565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424238" cy="680457"/>
            <wp:effectExtent b="0" l="0" r="0" t="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6804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Write down the summarizing points you think are the most important.</w:t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2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mental math tips were shared with you?</w:t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3338513</wp:posOffset>
            </wp:positionH>
            <wp:positionV relativeFrom="paragraph">
              <wp:posOffset>9525</wp:posOffset>
            </wp:positionV>
            <wp:extent cx="3081338" cy="883909"/>
            <wp:effectExtent b="0" l="0" r="0" t="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883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 make any errors doing this problem? If so, what were they?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3343275</wp:posOffset>
            </wp:positionH>
            <wp:positionV relativeFrom="paragraph">
              <wp:posOffset>66675</wp:posOffset>
            </wp:positionV>
            <wp:extent cx="2905125" cy="1117356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17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hyperlink" Target="https://apclassroom.collegeboard.org/7/home?apd=9bcmqioa0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classroom.collegeboard.org/7/home?apd=f4em9tc26v" TargetMode="External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v658mbftqs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