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8.9 Henderson-Hasselbalch Equation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810" w:right="-360" w:hanging="360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Identify the following in the reaction below: weak acid and conjugate base.</w:t>
      </w:r>
    </w:p>
    <w:p w:rsidR="00000000" w:rsidDel="00000000" w:rsidP="00000000" w:rsidRDefault="00000000" w:rsidRPr="00000000" w14:paraId="00000006">
      <w:pPr>
        <w:pageBreakBefore w:val="0"/>
        <w:ind w:left="720" w:right="-360" w:firstLine="0"/>
        <w:rPr>
          <w:rFonts w:ascii="Comic Sans MS" w:cs="Comic Sans MS" w:eastAsia="Comic Sans MS" w:hAnsi="Comic Sans MS"/>
          <w:b w:val="1"/>
          <w:sz w:val="32"/>
          <w:szCs w:val="32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                                 </w:t>
      </w:r>
      <w:r w:rsidDel="00000000" w:rsidR="00000000" w:rsidRPr="00000000">
        <w:rPr>
          <w:rFonts w:ascii="Cardo" w:cs="Cardo" w:eastAsia="Cardo" w:hAnsi="Cardo"/>
          <w:b w:val="1"/>
          <w:sz w:val="32"/>
          <w:szCs w:val="32"/>
          <w:rtl w:val="0"/>
        </w:rPr>
        <w:t xml:space="preserve">HA ↔  H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vertAlign w:val="superscript"/>
          <w:rtl w:val="0"/>
        </w:rPr>
        <w:t xml:space="preserve">+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rtl w:val="0"/>
        </w:rPr>
        <w:t xml:space="preserve">  +  A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vertAlign w:val="superscript"/>
          <w:rtl w:val="0"/>
        </w:rPr>
        <w:t xml:space="preserve">-</w:t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purpose of using the Henderson-Hasselbalch Equation?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table:</w:t>
      </w:r>
    </w:p>
    <w:tbl>
      <w:tblPr>
        <w:tblStyle w:val="Table1"/>
        <w:tblW w:w="1008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3285"/>
        <w:gridCol w:w="4500"/>
        <w:tblGridChange w:id="0">
          <w:tblGrid>
            <w:gridCol w:w="2295"/>
            <w:gridCol w:w="3285"/>
            <w:gridCol w:w="45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-9524</wp:posOffset>
                  </wp:positionV>
                  <wp:extent cx="1028700" cy="228600"/>
                  <wp:effectExtent b="0" l="0" r="0" t="0"/>
                  <wp:wrapTopAndBottom distB="0" dist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Concentrations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Is Log 0, neg, or positive?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What is the relationship of pH to pKa?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[HA]=[A-]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[A-]&gt;[HA]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[A-]&lt;[HA]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19050</wp:posOffset>
            </wp:positionV>
            <wp:extent cx="3985639" cy="1721575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639" cy="172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2324100</wp:posOffset>
            </wp:positionH>
            <wp:positionV relativeFrom="paragraph">
              <wp:posOffset>95250</wp:posOffset>
            </wp:positionV>
            <wp:extent cx="4633921" cy="1853568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921" cy="1853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aw7iabxtot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