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9.5 Free Energy and Equilibrium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Relate ΔG° and K by completing the following table: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Khan Academy link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3180"/>
        <w:gridCol w:w="2925"/>
        <w:gridCol w:w="1935"/>
        <w:tblGridChange w:id="0">
          <w:tblGrid>
            <w:gridCol w:w="1965"/>
            <w:gridCol w:w="3180"/>
            <w:gridCol w:w="2925"/>
            <w:gridCol w:w="19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Sign of ΔG° @ equilibrium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The sign of ΔG° indicates the reaction is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spontaneous (thermodynamically favorable) or not spontaneous (not thermodynamically favorable)?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Product or Reactants Favored?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Note, if the reaction is a go and favorable then what would you have more of, products or reactants?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Describe 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ΔG° is negative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ΔG° is positive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ΔG°=zero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280943</wp:posOffset>
            </wp:positionV>
            <wp:extent cx="3850839" cy="1832851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0839" cy="18328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2.</w:t>
        <w:tab/>
        <w:t xml:space="preserve">Try the problem on your own. Then evaluate your work and identify any errors you may have made.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247738</wp:posOffset>
            </wp:positionV>
            <wp:extent cx="4053479" cy="78029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3479" cy="780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zsy4czyybl" TargetMode="External"/><Relationship Id="rId8" Type="http://schemas.openxmlformats.org/officeDocument/2006/relationships/hyperlink" Target="https://www.khanacademy.org/science/ap-chemistry/thermodynamics-ap/gibbs-free-energy-tutorial-ap/v/standard-change-in-free-energy-and-the-equilibrium-const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