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880"/>
        <w:gridCol w:w="4315"/>
      </w:tblGrid>
      <w:tr w:rsidR="009B51A3" w:rsidRPr="009B51A3" w:rsidTr="009B51A3">
        <w:trPr>
          <w:trHeight w:val="20"/>
        </w:trPr>
        <w:tc>
          <w:tcPr>
            <w:tcW w:w="10790" w:type="dxa"/>
            <w:gridSpan w:val="3"/>
          </w:tcPr>
          <w:p w:rsidR="009B51A3" w:rsidRPr="009B51A3" w:rsidRDefault="009B51A3" w:rsidP="009B51A3">
            <w:pPr>
              <w:rPr>
                <w:b/>
              </w:rPr>
            </w:pPr>
            <w:r w:rsidRPr="009B51A3">
              <w:rPr>
                <w:b/>
              </w:rPr>
              <w:t>For All Questions</w:t>
            </w:r>
          </w:p>
        </w:tc>
      </w:tr>
      <w:tr w:rsidR="009B51A3" w:rsidRPr="009B51A3" w:rsidTr="00493099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Handwriting that is clear, legible, dark enough and large enough to be read by someone who doesn’t know you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after="160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Messy, illegible, light, tiny writing that cannot be read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Answers deemed illegible by a reader and the table leader will earn no points on corresponding parts/questions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Variables that are clearly denoted and appropriately used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Variables that are incorrectly represented 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Variables have specific meaning and must be correctly denoted/abbreviated;  case matters for many variables: </w:t>
            </w:r>
          </w:p>
          <w:p w:rsidR="00067B11" w:rsidRPr="00493099" w:rsidRDefault="00067B11" w:rsidP="009B51A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M (not m) for molarity, </w:t>
            </w:r>
          </w:p>
          <w:p w:rsidR="00067B11" w:rsidRPr="00493099" w:rsidRDefault="00067B11" w:rsidP="009B51A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K (equilibrium constant) vs k (rate constant)</w:t>
            </w:r>
          </w:p>
          <w:p w:rsidR="00067B11" w:rsidRPr="00493099" w:rsidRDefault="00067B11" w:rsidP="009B51A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m is meters, not minutes, moles or molarity, etc.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Abbreviations that are generally accepted </w:t>
            </w:r>
            <w:r w:rsidR="00304759">
              <w:rPr>
                <w:sz w:val="18"/>
                <w:szCs w:val="18"/>
              </w:rPr>
              <w:br/>
            </w:r>
            <w:r w:rsidRPr="00493099">
              <w:rPr>
                <w:sz w:val="18"/>
                <w:szCs w:val="18"/>
              </w:rPr>
              <w:t>(M, min, s, IMF, LDF, etc.)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Abbreviations that are not generally accepted/ are incorrect/ change the meaning (ex: </w:t>
            </w:r>
            <w:proofErr w:type="spellStart"/>
            <w:r w:rsidRPr="00493099">
              <w:rPr>
                <w:sz w:val="18"/>
                <w:szCs w:val="18"/>
              </w:rPr>
              <w:t>mol</w:t>
            </w:r>
            <w:proofErr w:type="spellEnd"/>
            <w:r w:rsidRPr="00493099">
              <w:rPr>
                <w:sz w:val="18"/>
                <w:szCs w:val="18"/>
              </w:rPr>
              <w:t xml:space="preserve"> for molecule, CL instead of Coulomb’s Law, </w:t>
            </w:r>
            <w:proofErr w:type="spellStart"/>
            <w:r w:rsidRPr="00493099">
              <w:rPr>
                <w:sz w:val="18"/>
                <w:szCs w:val="18"/>
              </w:rPr>
              <w:t>etc</w:t>
            </w:r>
            <w:proofErr w:type="spellEnd"/>
            <w:r w:rsidRPr="00493099">
              <w:rPr>
                <w:sz w:val="18"/>
                <w:szCs w:val="18"/>
              </w:rPr>
              <w:t>)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Abbreviations still must convey the correct information; if in doubt, avoid them – don’t create ambiguity in an answer by using an abbreviation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 the specific question first, then “justify”, “explain” etc.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Burying the answer in the text of the response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Make it easy to follow your answer and give you points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are concise and direct</w:t>
            </w:r>
          </w:p>
        </w:tc>
        <w:tc>
          <w:tcPr>
            <w:tcW w:w="2880" w:type="dxa"/>
            <w:hideMark/>
          </w:tcPr>
          <w:p w:rsidR="009B51A3" w:rsidRPr="00493099" w:rsidRDefault="00493099" w:rsidP="009B5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Burying the answer in </w:t>
            </w:r>
            <w:r w:rsidR="009B51A3" w:rsidRPr="00493099">
              <w:rPr>
                <w:sz w:val="18"/>
                <w:szCs w:val="18"/>
              </w:rPr>
              <w:t>long response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Make it easy to follow your answer and give you points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Names of specific elements and compounds, “reactants”, “products”, etc.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“it”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Ambiguous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“Species”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“It”, “stuff”, etc.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Be formal in language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 justification or explanation when it is part of the question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Only the answer without supporting it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Justification/explanation required to earn point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“mass”, “volume”, etc.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“size”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Be specific to indicate understanding 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References to specific data or graphs when prompted to “explain how the data…”, “using the table below…” or something similar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Generalizations about the data without specifically citing provided data or trials 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Required to earn point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Particle view diagrams with ions and polar molecules orientated in the correct direction relative to each other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Incorrectly oriented dipoles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Drawings must demonstrate understanding of interactions at the molecular level </w:t>
            </w:r>
          </w:p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(ex. 2015 #4)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 answer with units if “include units” is stated in the problem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 answer without units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If “include units” is written in the prompt, a unit is required to earn full points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Complete dimensional analysis/work with units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Incomplete dimensional analysis without units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Including units clearly shows intended work, and allows points for “implied” calculations to be earned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Values with units that match constants and that are the same throughout the equation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Values with units that do not match other values/constants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Values must be the same unit through an equation, for both constants and variables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expressed to the correct number of significant figures,  based on data given in the problem</w:t>
            </w:r>
          </w:p>
        </w:tc>
        <w:tc>
          <w:tcPr>
            <w:tcW w:w="2880" w:type="dxa"/>
            <w:hideMark/>
          </w:tcPr>
          <w:p w:rsidR="009B51A3" w:rsidRPr="00493099" w:rsidRDefault="009B51A3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Answers with an incorrect number of </w:t>
            </w:r>
            <w:r w:rsidR="00493099">
              <w:rPr>
                <w:sz w:val="18"/>
                <w:szCs w:val="18"/>
              </w:rPr>
              <w:t>sig figs</w:t>
            </w:r>
            <w:r w:rsidRPr="00493099">
              <w:rPr>
                <w:sz w:val="18"/>
                <w:szCs w:val="18"/>
              </w:rPr>
              <w:t xml:space="preserve"> or sig figs limited by molar mass, constants, etc.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1 </w:t>
            </w:r>
            <w:proofErr w:type="spellStart"/>
            <w:r w:rsidRPr="00493099">
              <w:rPr>
                <w:sz w:val="18"/>
                <w:szCs w:val="18"/>
              </w:rPr>
              <w:t>pt</w:t>
            </w:r>
            <w:proofErr w:type="spellEnd"/>
            <w:r w:rsidRPr="00493099">
              <w:rPr>
                <w:sz w:val="18"/>
                <w:szCs w:val="18"/>
              </w:rPr>
              <w:t xml:space="preserve"> traditionally is assessed somewhere in the FR for significant figures (typically found in a laboratory data question)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only refer to substances/data included in the prompt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>Answers with justifications based on situations or data that are not indicated in the prompt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bCs/>
                <w:sz w:val="18"/>
                <w:szCs w:val="18"/>
              </w:rPr>
              <w:t xml:space="preserve">Do not claim something happened that was not present in prompt– any valid assumptions would be stated 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Analysis of given data in a thoughtful way that is based on chemical principals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Saying that data is wrong, that the data is impossible, calling the test writers liars, etc.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The AP Exam is never going to try to trick you- it will not give false or impossible data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refer to specific and correct glassware and interpret figures correctly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use incorrect glassware for the task, particularly with regard to precision and/or misread figures of glassware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Glassware has different specialized uses, and should be appropriately referenced/used/read based on the task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Explanation of an application of usage of a term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Definition of a term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 definition is not required on the exam – an explanation of how this term applies is needed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 explanation of the reason behind an observation of phenomena.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Stating a law/rule or observation without explaining the chemical principles or phenomena behind the law/rule/trend.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Simply stating the end result without discussing the reason for that result does not fully answer the question. Evidence and reasoning must both be included. (ex. 2019 #4)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Using deductive reasoning to make conclusions or approximate values when the terms “estimate” or “justify” are in the prompt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Using long, time-intensive math reasoning when “calculate” is not indicated in the prompt</w:t>
            </w:r>
          </w:p>
        </w:tc>
        <w:tc>
          <w:tcPr>
            <w:tcW w:w="4315" w:type="dxa"/>
            <w:hideMark/>
          </w:tcPr>
          <w:p w:rsidR="009B51A3" w:rsidRPr="00493099" w:rsidRDefault="009B51A3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While correct calculations will earn credit, the loss in this type of answer is the amount of time spent on the </w:t>
            </w:r>
            <w:proofErr w:type="spellStart"/>
            <w:r w:rsidRPr="00493099">
              <w:rPr>
                <w:sz w:val="18"/>
                <w:szCs w:val="18"/>
              </w:rPr>
              <w:t>calc</w:t>
            </w:r>
            <w:r w:rsidR="00493099">
              <w:rPr>
                <w:sz w:val="18"/>
                <w:szCs w:val="18"/>
              </w:rPr>
              <w:t>.</w:t>
            </w:r>
            <w:r w:rsidRPr="00493099">
              <w:rPr>
                <w:sz w:val="18"/>
                <w:szCs w:val="18"/>
              </w:rPr>
              <w:t>s</w:t>
            </w:r>
            <w:proofErr w:type="spellEnd"/>
            <w:r w:rsidRPr="00493099">
              <w:rPr>
                <w:sz w:val="18"/>
                <w:szCs w:val="18"/>
              </w:rPr>
              <w:t xml:space="preserve"> when an assessment without lengthy calculations can be done instead (ex: 2018 #2e-f, 2019 #3g)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pay attention to the relative scale on graphs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Answers that make assumptions on the scale without examining data</w:t>
            </w:r>
          </w:p>
        </w:tc>
        <w:tc>
          <w:tcPr>
            <w:tcW w:w="4315" w:type="dxa"/>
            <w:hideMark/>
          </w:tcPr>
          <w:p w:rsidR="009B51A3" w:rsidRPr="00493099" w:rsidRDefault="009B51A3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Don’t assume that marked lines are increments of 1, 10, etc. – use the data to determine scale (ex. 2019 #5a)</w:t>
            </w:r>
          </w:p>
        </w:tc>
      </w:tr>
    </w:tbl>
    <w:p w:rsidR="00067B11" w:rsidRPr="00067B11" w:rsidRDefault="00067B11" w:rsidP="00067B11">
      <w:pPr>
        <w:spacing w:after="0" w:line="240" w:lineRule="auto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880"/>
        <w:gridCol w:w="4315"/>
      </w:tblGrid>
      <w:tr w:rsidR="009B51A3" w:rsidRPr="009B51A3" w:rsidTr="009B51A3">
        <w:trPr>
          <w:trHeight w:val="20"/>
        </w:trPr>
        <w:tc>
          <w:tcPr>
            <w:tcW w:w="10790" w:type="dxa"/>
            <w:gridSpan w:val="3"/>
          </w:tcPr>
          <w:p w:rsidR="009B51A3" w:rsidRPr="009B51A3" w:rsidRDefault="009B51A3" w:rsidP="009B51A3">
            <w:pPr>
              <w:rPr>
                <w:b/>
              </w:rPr>
            </w:pPr>
            <w:r>
              <w:rPr>
                <w:b/>
              </w:rPr>
              <w:lastRenderedPageBreak/>
              <w:t>Unit 1: Atomic Structure and Properties</w:t>
            </w:r>
          </w:p>
        </w:tc>
      </w:tr>
      <w:tr w:rsidR="00493099" w:rsidRPr="009B51A3" w:rsidTr="00493099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:rsidR="009B51A3" w:rsidRPr="009B51A3" w:rsidRDefault="009B51A3" w:rsidP="009B51A3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9B51A3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“period”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“shell” when referring to elements and their location on the Periodic Table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Elements are in a period, electrons are in a shell</w:t>
            </w:r>
          </w:p>
        </w:tc>
      </w:tr>
      <w:tr w:rsidR="009B51A3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 electron configurations that show  electrons were removed from valence shell orbitals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Ion electron configurations that show  electrons were removed from inner orbitals 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Ions form by electrons being lost from the outermost shell; this may or may not be the electrons that were filled last in the electron configuration (ref. 2018 #3a)</w:t>
            </w:r>
          </w:p>
        </w:tc>
      </w:tr>
      <w:tr w:rsidR="009B51A3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Reference reasons for periodic trends (i.e. effective nuclear charge, Coulomb’s law, polarizability, etc.)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Stating the trend as the reason (“because it is to the left”, “because it is further down the periodic table”, etc.) 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9B51A3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“Effective nuclear charge increases”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 wants to have a full octet”; “it’s close to having a full octet”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9B51A3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 has a more polarizable cloud of electrons”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“It has more electrons”, “it has more mass”, “it has more surface area”, “it is bigger”, “it has more protons”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9B51A3" w:rsidRPr="009B51A3" w:rsidTr="00493099">
        <w:trPr>
          <w:trHeight w:val="20"/>
        </w:trPr>
        <w:tc>
          <w:tcPr>
            <w:tcW w:w="359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“Electrons in higher energy levels are farther from the nucleus, resulting in a larger atom/ion.”</w:t>
            </w:r>
          </w:p>
        </w:tc>
        <w:tc>
          <w:tcPr>
            <w:tcW w:w="2880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“More electrons/more energy levels makes the atom/ion bigger.”</w:t>
            </w:r>
          </w:p>
        </w:tc>
        <w:tc>
          <w:tcPr>
            <w:tcW w:w="4315" w:type="dxa"/>
            <w:hideMark/>
          </w:tcPr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Explanation of reason, not just statement of fact, required for point</w:t>
            </w:r>
          </w:p>
          <w:p w:rsidR="009B51A3" w:rsidRPr="00493099" w:rsidRDefault="009B51A3" w:rsidP="009B51A3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(Ref 2016 #1)</w:t>
            </w:r>
          </w:p>
        </w:tc>
      </w:tr>
    </w:tbl>
    <w:p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510"/>
        <w:gridCol w:w="4495"/>
      </w:tblGrid>
      <w:tr w:rsidR="00493099" w:rsidRPr="009B51A3" w:rsidTr="00493099">
        <w:trPr>
          <w:trHeight w:val="20"/>
        </w:trPr>
        <w:tc>
          <w:tcPr>
            <w:tcW w:w="10790" w:type="dxa"/>
            <w:gridSpan w:val="3"/>
          </w:tcPr>
          <w:p w:rsidR="00493099" w:rsidRPr="009B51A3" w:rsidRDefault="00493099" w:rsidP="00493099">
            <w:pPr>
              <w:rPr>
                <w:b/>
              </w:rPr>
            </w:pPr>
            <w:r>
              <w:rPr>
                <w:b/>
              </w:rPr>
              <w:t>Unit 2: Molecular and Ionic Compound Structure</w:t>
            </w:r>
          </w:p>
        </w:tc>
      </w:tr>
      <w:tr w:rsidR="00493099" w:rsidRPr="009B51A3" w:rsidTr="00493099">
        <w:trPr>
          <w:trHeight w:val="20"/>
        </w:trPr>
        <w:tc>
          <w:tcPr>
            <w:tcW w:w="2785" w:type="dxa"/>
            <w:shd w:val="clear" w:color="auto" w:fill="BFBFBF" w:themeFill="background1" w:themeFillShade="BF"/>
          </w:tcPr>
          <w:p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495" w:type="dxa"/>
            <w:shd w:val="clear" w:color="auto" w:fill="BFBFBF" w:themeFill="background1" w:themeFillShade="BF"/>
          </w:tcPr>
          <w:p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493099" w:rsidRPr="00493099" w:rsidTr="00493099">
        <w:trPr>
          <w:trHeight w:val="20"/>
        </w:trPr>
        <w:tc>
          <w:tcPr>
            <w:tcW w:w="278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“ionic compound”</w:t>
            </w:r>
          </w:p>
        </w:tc>
        <w:tc>
          <w:tcPr>
            <w:tcW w:w="351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bCs/>
                <w:sz w:val="18"/>
              </w:rPr>
              <w:t>“molecule” when discussing an ionic compound</w:t>
            </w:r>
          </w:p>
        </w:tc>
        <w:tc>
          <w:tcPr>
            <w:tcW w:w="449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bCs/>
                <w:sz w:val="18"/>
              </w:rPr>
              <w:t>A molecule is a covalent compound</w:t>
            </w:r>
          </w:p>
        </w:tc>
      </w:tr>
      <w:tr w:rsidR="00493099" w:rsidRPr="00493099" w:rsidTr="00493099">
        <w:trPr>
          <w:trHeight w:val="20"/>
        </w:trPr>
        <w:tc>
          <w:tcPr>
            <w:tcW w:w="278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“ions”</w:t>
            </w:r>
          </w:p>
        </w:tc>
        <w:tc>
          <w:tcPr>
            <w:tcW w:w="351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“atoms” when discussing ionic compounds</w:t>
            </w:r>
          </w:p>
        </w:tc>
        <w:tc>
          <w:tcPr>
            <w:tcW w:w="449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Ionic compounds contain ions – this shows the understanding that it is the charges that form the bond</w:t>
            </w:r>
          </w:p>
        </w:tc>
      </w:tr>
      <w:tr w:rsidR="00493099" w:rsidRPr="00493099" w:rsidTr="00493099">
        <w:trPr>
          <w:trHeight w:val="20"/>
        </w:trPr>
        <w:tc>
          <w:tcPr>
            <w:tcW w:w="278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“atoms”</w:t>
            </w:r>
          </w:p>
        </w:tc>
        <w:tc>
          <w:tcPr>
            <w:tcW w:w="351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“ions” when discussing covalent compounds</w:t>
            </w:r>
          </w:p>
        </w:tc>
        <w:tc>
          <w:tcPr>
            <w:tcW w:w="449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Covalent compounds do not contain ions</w:t>
            </w:r>
          </w:p>
        </w:tc>
      </w:tr>
      <w:tr w:rsidR="00493099" w:rsidRPr="00493099" w:rsidTr="00493099">
        <w:trPr>
          <w:trHeight w:val="20"/>
        </w:trPr>
        <w:tc>
          <w:tcPr>
            <w:tcW w:w="278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</w:t>
            </w:r>
            <w:proofErr w:type="spellStart"/>
            <w:r w:rsidRPr="00493099">
              <w:rPr>
                <w:sz w:val="18"/>
              </w:rPr>
              <w:t>Coulombic</w:t>
            </w:r>
            <w:proofErr w:type="spellEnd"/>
            <w:r w:rsidRPr="00493099">
              <w:rPr>
                <w:sz w:val="18"/>
              </w:rPr>
              <w:t xml:space="preserve"> attraction”</w:t>
            </w:r>
          </w:p>
        </w:tc>
        <w:tc>
          <w:tcPr>
            <w:tcW w:w="351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“Opposites attract”</w:t>
            </w:r>
          </w:p>
        </w:tc>
        <w:tc>
          <w:tcPr>
            <w:tcW w:w="449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State the actual reason not the memory aid</w:t>
            </w:r>
          </w:p>
        </w:tc>
      </w:tr>
      <w:tr w:rsidR="00493099" w:rsidRPr="00493099" w:rsidTr="00493099">
        <w:trPr>
          <w:trHeight w:val="20"/>
        </w:trPr>
        <w:tc>
          <w:tcPr>
            <w:tcW w:w="278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Lewis structures that are complete with necessary lone pairs and/or resonance</w:t>
            </w:r>
          </w:p>
        </w:tc>
        <w:tc>
          <w:tcPr>
            <w:tcW w:w="351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Lewis structures that are missing lone pairs and/or resonance (if needed for correct structures)</w:t>
            </w:r>
          </w:p>
        </w:tc>
        <w:tc>
          <w:tcPr>
            <w:tcW w:w="449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Lewis structures are incorrect without necessary lone pairs/resonance</w:t>
            </w:r>
          </w:p>
        </w:tc>
      </w:tr>
      <w:tr w:rsidR="00493099" w:rsidRPr="00493099" w:rsidTr="00493099">
        <w:trPr>
          <w:trHeight w:val="20"/>
        </w:trPr>
        <w:tc>
          <w:tcPr>
            <w:tcW w:w="278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Multiple bonds when there are not enough valence electrons to satisfy the octet rule</w:t>
            </w:r>
          </w:p>
        </w:tc>
        <w:tc>
          <w:tcPr>
            <w:tcW w:w="351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Multiple bonds when the octet rule for the structure would have been satisfied without them</w:t>
            </w:r>
          </w:p>
        </w:tc>
        <w:tc>
          <w:tcPr>
            <w:tcW w:w="449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Multiple bonds are only needed when there are not enough valence electrons to satisfy the octet rule</w:t>
            </w:r>
          </w:p>
        </w:tc>
      </w:tr>
      <w:tr w:rsidR="00493099" w:rsidRPr="00493099" w:rsidTr="00493099">
        <w:trPr>
          <w:trHeight w:val="20"/>
        </w:trPr>
        <w:tc>
          <w:tcPr>
            <w:tcW w:w="278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Stating a VSEPR geometry/hybridization that thinks about the 3D arrangement of atoms in a molecule</w:t>
            </w:r>
          </w:p>
        </w:tc>
        <w:tc>
          <w:tcPr>
            <w:tcW w:w="351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State a VSEPR geometry/hybridization that thinks about a molecule based on its 2D representation</w:t>
            </w:r>
          </w:p>
        </w:tc>
        <w:tc>
          <w:tcPr>
            <w:tcW w:w="449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VSEPR/hybridization are used to describe the 3D arrangement of atoms in a molecule; failing to recognize the difference between the way a Lewis structure is drawn and the way the actual molecule is arranged may lead to an incorrect analysis of structure (ref. 2018 #2d)</w:t>
            </w:r>
          </w:p>
        </w:tc>
      </w:tr>
    </w:tbl>
    <w:p w:rsidR="00493099" w:rsidRDefault="00493099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700"/>
        <w:gridCol w:w="4855"/>
      </w:tblGrid>
      <w:tr w:rsidR="00493099" w:rsidRPr="009B51A3" w:rsidTr="00067B11">
        <w:trPr>
          <w:trHeight w:val="20"/>
        </w:trPr>
        <w:tc>
          <w:tcPr>
            <w:tcW w:w="10790" w:type="dxa"/>
            <w:gridSpan w:val="3"/>
          </w:tcPr>
          <w:p w:rsidR="00493099" w:rsidRPr="009B51A3" w:rsidRDefault="00493099" w:rsidP="00493099">
            <w:pPr>
              <w:rPr>
                <w:b/>
              </w:rPr>
            </w:pPr>
            <w:r>
              <w:rPr>
                <w:b/>
              </w:rPr>
              <w:t>Unit 3: Intermolecular Forces and Properties</w:t>
            </w:r>
          </w:p>
        </w:tc>
      </w:tr>
      <w:tr w:rsidR="00493099" w:rsidRPr="009B51A3" w:rsidTr="00067B11">
        <w:trPr>
          <w:trHeight w:val="20"/>
        </w:trPr>
        <w:tc>
          <w:tcPr>
            <w:tcW w:w="3235" w:type="dxa"/>
            <w:shd w:val="clear" w:color="auto" w:fill="BFBFBF" w:themeFill="background1" w:themeFillShade="BF"/>
          </w:tcPr>
          <w:p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:rsidR="00493099" w:rsidRPr="009B51A3" w:rsidRDefault="00493099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Hydrogen bonding, dipole-dipole, London dispersion forces, etc. when asked to identify intermolecular forces 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Ionic bonds, covalent bonds, metallic bonds when asked to identify intermolecular forces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Intermolecular forces are attractions between molecules; bonds are intramolecular forces (within molecules)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Discussion of ALL intermolecular forces when prompted to do so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Neglecting IMFs that may be weaker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If asked to state all IMFs, all points will not be earned if some of the IMFs are not stated (ref. 2018 #4a and 2019 #2c)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30475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</w:t>
            </w:r>
            <w:r w:rsidR="00304759">
              <w:rPr>
                <w:sz w:val="18"/>
                <w:szCs w:val="18"/>
              </w:rPr>
              <w:t>Can form</w:t>
            </w:r>
            <w:r w:rsidRPr="00493099">
              <w:rPr>
                <w:sz w:val="18"/>
                <w:szCs w:val="18"/>
              </w:rPr>
              <w:t xml:space="preserve"> hydrogen bonds between the molecules”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“Has hydrogen bonds”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Is unambiguous - Shows that you understand hydrogen bonds are not actually bonds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Electrical conductivity is a property of an ionic solution due to the charges on the dissociated ions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Electrical conductivity is due to the ionic precipitate, electrical conductivity is due to the water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Conductivity is due to the ability of a ion to carry charge; precipitate would not influence in solid form; pure water is non-conductive, (ref. 2019 #3e)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“Overcome intermolecular forces”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“break up” a solid/liquid, break covalent bonds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IMFs should be used to justify phase changes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lastRenderedPageBreak/>
              <w:t>“Stronger intermolecular forces increase boiling point”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“Stronger covalent bonds increase boiling point”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IMF’s, not bonds, are what must be overcome during phase changes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 interactions when discussing ionic compounds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LDF’s when discussing ionic compounds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Ionic compounds have ions with whole charges, which dominate interactions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</w:t>
            </w:r>
            <w:proofErr w:type="spellStart"/>
            <w:r w:rsidRPr="00493099">
              <w:rPr>
                <w:sz w:val="18"/>
                <w:szCs w:val="18"/>
              </w:rPr>
              <w:t>Coulombic</w:t>
            </w:r>
            <w:proofErr w:type="spellEnd"/>
            <w:r w:rsidRPr="00493099">
              <w:rPr>
                <w:sz w:val="18"/>
                <w:szCs w:val="18"/>
              </w:rPr>
              <w:t xml:space="preserve"> attraction”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“Opposites attract”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Describe the process of overcoming intermolecular forces/polarity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“Like dissolves like”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State the actual reason not the memory aid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 xml:space="preserve">Hydrogen bonding, dipole-dipole, London dispersion forces, etc. when asked to identify intermolecular forces 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Ionic bonds, covalent bonds, metallic bonds when asked to identify intermolecular forces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Intermolecular forces are attractions between molecules; bonds are intramolecular forces (within molecules)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Discussion of ALL intermolecular forces when prompted to do so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Neglecting IMFs that may be weaker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If asked to state all IMFs, all points will not be earned if some of the IMFs are not stated (ref. 2018 #4a and 2019 #2c)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30475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</w:t>
            </w:r>
            <w:r w:rsidR="00304759">
              <w:rPr>
                <w:sz w:val="18"/>
              </w:rPr>
              <w:t>Can form</w:t>
            </w:r>
            <w:r w:rsidRPr="00493099">
              <w:rPr>
                <w:sz w:val="18"/>
              </w:rPr>
              <w:t xml:space="preserve"> hydrogen bonds between the molecules”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“Has hydrogen bonds”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Is unambiguous - Shows that you understand hydrogen bonds are not actually bonds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Electrical conductivity is a property of an ionic solution due to the charges on the dissociated ions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Electrical conductivity is due to the ionic precipitate, electrical conductivity is due to the water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Conductivity is due to the ability of a ion to carry charge; precipitate would not influence in solid form; pure water is non-conductive, (ref. 2019 #3e)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“Overcome intermolecular forces”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“break up” a solid/liquid, break covalent bonds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IMFs should be used to justify phase changes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“Stronger intermolecular forces increase boiling point”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“Stronger covalent bonds increase boiling point”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IMF’s, not bonds, are what must be overcome during phase changes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Ion interactions when discussing ionic compounds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LDF’s when discussing ionic compounds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Ionic compounds have ions with whole charges, which dominate interactions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</w:t>
            </w:r>
            <w:proofErr w:type="spellStart"/>
            <w:r w:rsidRPr="00493099">
              <w:rPr>
                <w:sz w:val="18"/>
              </w:rPr>
              <w:t>Coulombic</w:t>
            </w:r>
            <w:proofErr w:type="spellEnd"/>
            <w:r w:rsidRPr="00493099">
              <w:rPr>
                <w:sz w:val="18"/>
              </w:rPr>
              <w:t xml:space="preserve"> attraction”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“Opposites attract”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State the actual reason not the memory aid</w:t>
            </w:r>
          </w:p>
        </w:tc>
      </w:tr>
      <w:tr w:rsidR="00493099" w:rsidRPr="00493099" w:rsidTr="00067B11">
        <w:trPr>
          <w:trHeight w:val="20"/>
        </w:trPr>
        <w:tc>
          <w:tcPr>
            <w:tcW w:w="323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Describe the process of overcoming intermolecular forces/polarity</w:t>
            </w:r>
          </w:p>
        </w:tc>
        <w:tc>
          <w:tcPr>
            <w:tcW w:w="2700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“Like dissolves like”</w:t>
            </w:r>
          </w:p>
        </w:tc>
        <w:tc>
          <w:tcPr>
            <w:tcW w:w="4855" w:type="dxa"/>
            <w:hideMark/>
          </w:tcPr>
          <w:p w:rsidR="00493099" w:rsidRPr="00493099" w:rsidRDefault="00493099" w:rsidP="00493099">
            <w:pPr>
              <w:spacing w:line="259" w:lineRule="auto"/>
              <w:rPr>
                <w:sz w:val="18"/>
              </w:rPr>
            </w:pPr>
            <w:r w:rsidRPr="00493099">
              <w:rPr>
                <w:sz w:val="18"/>
              </w:rPr>
              <w:t>State the actual reason not the memory aid</w:t>
            </w:r>
          </w:p>
        </w:tc>
      </w:tr>
      <w:tr w:rsidR="00067B11" w:rsidRPr="00067B11" w:rsidTr="00067B11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Identify specific intermolecular forces at play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“stronger intermolecular forces”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 xml:space="preserve">Shows your understanding of the particulate-level chemistry </w:t>
            </w:r>
          </w:p>
        </w:tc>
      </w:tr>
      <w:tr w:rsidR="00067B11" w:rsidRPr="00067B11" w:rsidTr="00067B11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LDFs increase with an increasing number of electrons and therefore polarizability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LDFs increase with increasing size/mass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Increased number of electrons in an atom is what increases LDF; increased size is not the reason for increased strength of LDF</w:t>
            </w:r>
          </w:p>
        </w:tc>
      </w:tr>
      <w:tr w:rsidR="00067B11" w:rsidRPr="00067B11" w:rsidTr="00067B11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  <w:u w:val="single"/>
              </w:rPr>
              <w:t>Inter</w:t>
            </w:r>
            <w:r w:rsidRPr="00067B11">
              <w:rPr>
                <w:sz w:val="18"/>
              </w:rPr>
              <w:t xml:space="preserve">molecular forces in discussing physical properties (MP, BP, </w:t>
            </w:r>
            <w:proofErr w:type="spellStart"/>
            <w:r w:rsidRPr="00067B11">
              <w:rPr>
                <w:sz w:val="18"/>
              </w:rPr>
              <w:t>etc</w:t>
            </w:r>
            <w:proofErr w:type="spellEnd"/>
            <w:r w:rsidRPr="00067B11">
              <w:rPr>
                <w:sz w:val="18"/>
              </w:rPr>
              <w:t>)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  <w:u w:val="single"/>
              </w:rPr>
              <w:t>Intra</w:t>
            </w:r>
            <w:r w:rsidRPr="00067B11">
              <w:rPr>
                <w:sz w:val="18"/>
              </w:rPr>
              <w:t>molecular forces (“bonds”) in discussing physical properties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Bonds are not broken and so intramolecular forces are not the determining factors (ref. 2018 #4a and 2019 #2c)</w:t>
            </w:r>
          </w:p>
        </w:tc>
      </w:tr>
      <w:tr w:rsidR="00067B11" w:rsidRPr="00067B11" w:rsidTr="00067B11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Pressure is caused by the collision of gas particles with the walls of a container.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Pressure is caused by the collision of gas particles.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Unclear wording – implies pressure is caused by gas particles colliding with each other not with the container (ref. 2019 #4c)</w:t>
            </w:r>
          </w:p>
        </w:tc>
      </w:tr>
      <w:tr w:rsidR="00067B11" w:rsidRPr="00067B11" w:rsidTr="00067B11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Use R with corresponding units to those used in work (and correctly report final unit)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R value with mismatched units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Units used in Ideal Gas Law must match units on the R value (ref. 2018 #4b and 2019 #2d)</w:t>
            </w:r>
          </w:p>
        </w:tc>
      </w:tr>
      <w:tr w:rsidR="00067B11" w:rsidRPr="00067B11" w:rsidTr="00067B11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 xml:space="preserve">Comparison of </w:t>
            </w:r>
            <w:proofErr w:type="spellStart"/>
            <w:r w:rsidRPr="00067B11">
              <w:rPr>
                <w:sz w:val="18"/>
              </w:rPr>
              <w:t>R</w:t>
            </w:r>
            <w:r w:rsidRPr="00067B11">
              <w:rPr>
                <w:sz w:val="18"/>
                <w:vertAlign w:val="subscript"/>
              </w:rPr>
              <w:t>f</w:t>
            </w:r>
            <w:proofErr w:type="spellEnd"/>
            <w:r w:rsidRPr="00067B11">
              <w:rPr>
                <w:sz w:val="18"/>
              </w:rPr>
              <w:t xml:space="preserve"> values in chromatography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Comparison of absolute height of spots on chromatograms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Take into account a difference in the distance the solvent front travelled between different chromatograms (ref. 2017 #4)</w:t>
            </w:r>
          </w:p>
        </w:tc>
      </w:tr>
      <w:tr w:rsidR="00067B11" w:rsidRPr="00067B11" w:rsidTr="00067B11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 xml:space="preserve">Discussion of intermolecular forces between </w:t>
            </w:r>
            <w:proofErr w:type="spellStart"/>
            <w:r w:rsidRPr="00067B11">
              <w:rPr>
                <w:sz w:val="18"/>
              </w:rPr>
              <w:t>analyte</w:t>
            </w:r>
            <w:proofErr w:type="spellEnd"/>
            <w:r w:rsidRPr="00067B11">
              <w:rPr>
                <w:sz w:val="18"/>
              </w:rPr>
              <w:t xml:space="preserve"> molecules and stationary/mobile phases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 xml:space="preserve">Repulsions between </w:t>
            </w:r>
            <w:proofErr w:type="spellStart"/>
            <w:r w:rsidRPr="00067B11">
              <w:rPr>
                <w:sz w:val="18"/>
              </w:rPr>
              <w:t>analyte</w:t>
            </w:r>
            <w:proofErr w:type="spellEnd"/>
            <w:r w:rsidRPr="00067B11">
              <w:rPr>
                <w:sz w:val="18"/>
              </w:rPr>
              <w:t xml:space="preserve"> molecules and stationary/mobile phases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The movement in chromatography is determined by the attraction for the stationary/mobile phase (ref. 2017 #4)</w:t>
            </w:r>
          </w:p>
        </w:tc>
      </w:tr>
      <w:tr w:rsidR="00067B11" w:rsidRPr="00067B11" w:rsidTr="00067B11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“Solution” when an ionic compound is dissolved in water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“Liquid” instead of solution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rPr>
                <w:sz w:val="18"/>
              </w:rPr>
            </w:pPr>
            <w:r w:rsidRPr="00067B11">
              <w:rPr>
                <w:sz w:val="18"/>
              </w:rPr>
              <w:t>An ionic compound dissolved in water is a solution, not a liquid (the word liquid indicates a molten compound) (ref. 2019 #3e)</w:t>
            </w:r>
          </w:p>
        </w:tc>
      </w:tr>
    </w:tbl>
    <w:p w:rsidR="00493099" w:rsidRDefault="00493099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700"/>
        <w:gridCol w:w="4495"/>
      </w:tblGrid>
      <w:tr w:rsidR="00067B11" w:rsidRPr="009B51A3" w:rsidTr="00067B11">
        <w:trPr>
          <w:trHeight w:val="20"/>
        </w:trPr>
        <w:tc>
          <w:tcPr>
            <w:tcW w:w="10790" w:type="dxa"/>
            <w:gridSpan w:val="3"/>
          </w:tcPr>
          <w:p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t>Unit 4: Chemical Reactions</w:t>
            </w:r>
          </w:p>
        </w:tc>
      </w:tr>
      <w:tr w:rsidR="00067B11" w:rsidRPr="009B51A3" w:rsidTr="00067B11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49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Net ionic equations only containing species that change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Aqueous ionic compounds in their </w:t>
            </w:r>
            <w:proofErr w:type="spellStart"/>
            <w:r w:rsidRPr="00067B11">
              <w:rPr>
                <w:sz w:val="18"/>
                <w:szCs w:val="18"/>
              </w:rPr>
              <w:t>undissociated</w:t>
            </w:r>
            <w:proofErr w:type="spellEnd"/>
            <w:r w:rsidRPr="00067B11">
              <w:rPr>
                <w:sz w:val="18"/>
                <w:szCs w:val="18"/>
              </w:rPr>
              <w:t xml:space="preserve"> form, spectator ions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Including these is not a net ionic, it’s a molecular or complete ionic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Polyatomic ions that are shown as a compound with the correct charge in solution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Polyatomic ions that are broken down into elemental ions in solution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Polyatomic ions themselves do not dissociate in solution, they only dissociate from the other ion in an ionic compound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Net ionic equations with correct species, ionic charges and stoichiometric coefficients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Net ionic equations that contain incorrect formulas or ions without associated charges or that are not </w:t>
            </w:r>
            <w:proofErr w:type="spellStart"/>
            <w:r w:rsidRPr="00067B11">
              <w:rPr>
                <w:sz w:val="18"/>
                <w:szCs w:val="18"/>
              </w:rPr>
              <w:t>stoichiometrically</w:t>
            </w:r>
            <w:proofErr w:type="spellEnd"/>
            <w:r w:rsidRPr="00067B11">
              <w:rPr>
                <w:sz w:val="18"/>
                <w:szCs w:val="18"/>
              </w:rPr>
              <w:t xml:space="preserve"> balanced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Net ionic equations must correctly represent the ions and other species (ref. 2018 #6a and 2019 #3a)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lastRenderedPageBreak/>
              <w:t xml:space="preserve">Determination of the concentration of an </w:t>
            </w:r>
            <w:proofErr w:type="spellStart"/>
            <w:r w:rsidRPr="00067B11">
              <w:rPr>
                <w:sz w:val="18"/>
                <w:szCs w:val="18"/>
              </w:rPr>
              <w:t>analyte</w:t>
            </w:r>
            <w:proofErr w:type="spellEnd"/>
            <w:r w:rsidRPr="00067B11">
              <w:rPr>
                <w:sz w:val="18"/>
                <w:szCs w:val="18"/>
              </w:rPr>
              <w:t xml:space="preserve"> in a titration that takes into account the stoichiometry of the reaction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Applying M</w:t>
            </w:r>
            <w:r w:rsidRPr="00067B11">
              <w:rPr>
                <w:sz w:val="18"/>
                <w:szCs w:val="18"/>
                <w:vertAlign w:val="subscript"/>
              </w:rPr>
              <w:t>1</w:t>
            </w:r>
            <w:r w:rsidRPr="00067B11">
              <w:rPr>
                <w:sz w:val="18"/>
                <w:szCs w:val="18"/>
              </w:rPr>
              <w:t>V</w:t>
            </w:r>
            <w:r w:rsidRPr="00067B11">
              <w:rPr>
                <w:sz w:val="18"/>
                <w:szCs w:val="18"/>
                <w:vertAlign w:val="subscript"/>
              </w:rPr>
              <w:t>1</w:t>
            </w:r>
            <w:r w:rsidRPr="00067B11">
              <w:rPr>
                <w:sz w:val="18"/>
                <w:szCs w:val="18"/>
              </w:rPr>
              <w:t>=M</w:t>
            </w:r>
            <w:r w:rsidRPr="00067B11">
              <w:rPr>
                <w:sz w:val="18"/>
                <w:szCs w:val="18"/>
                <w:vertAlign w:val="subscript"/>
              </w:rPr>
              <w:t>2</w:t>
            </w:r>
            <w:r w:rsidRPr="00067B11">
              <w:rPr>
                <w:sz w:val="18"/>
                <w:szCs w:val="18"/>
              </w:rPr>
              <w:t>V</w:t>
            </w:r>
            <w:r w:rsidRPr="00067B11">
              <w:rPr>
                <w:sz w:val="18"/>
                <w:szCs w:val="18"/>
                <w:vertAlign w:val="subscript"/>
              </w:rPr>
              <w:t>2</w:t>
            </w:r>
            <w:r w:rsidRPr="00067B11">
              <w:rPr>
                <w:sz w:val="18"/>
                <w:szCs w:val="18"/>
              </w:rPr>
              <w:t xml:space="preserve"> as a blanket method for determining concentration at an end point if the stoichiometry is not 1:1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While acid-base titrations are often 1:1, not all titrations (especially REDOX titrations) follow this stoichiometry; in situations that are not 1:1, the stoichiometric ratios must be accounted for in calculations (ref. 2018 #3e)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Justification of whether a species is oxidized/reduced by referencing oxidation numbers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A justification of oxidation/reduction that uses charge on an ion  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Oxidation numbers are assigned to individual atoms in the reaction, and they are not automatically the same as the charge in a polyatomic ion (ref. 2019 #7a)</w:t>
            </w:r>
          </w:p>
        </w:tc>
      </w:tr>
      <w:tr w:rsidR="00067B11" w:rsidRPr="00493099" w:rsidTr="00067B11">
        <w:trPr>
          <w:trHeight w:val="20"/>
        </w:trPr>
        <w:tc>
          <w:tcPr>
            <w:tcW w:w="3595" w:type="dxa"/>
            <w:hideMark/>
          </w:tcPr>
          <w:p w:rsidR="00067B11" w:rsidRPr="00493099" w:rsidRDefault="00067B11" w:rsidP="00067B11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 xml:space="preserve">Hydrogen bonding, dipole-dipole, London dispersion forces, etc. when asked to identify intermolecular forces </w:t>
            </w:r>
          </w:p>
        </w:tc>
        <w:tc>
          <w:tcPr>
            <w:tcW w:w="2700" w:type="dxa"/>
            <w:hideMark/>
          </w:tcPr>
          <w:p w:rsidR="00067B11" w:rsidRPr="00493099" w:rsidRDefault="00067B11" w:rsidP="00067B11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Ionic bonds, covalent bonds, metallic bonds when asked to identify intermolecular forces</w:t>
            </w:r>
          </w:p>
        </w:tc>
        <w:tc>
          <w:tcPr>
            <w:tcW w:w="4495" w:type="dxa"/>
            <w:hideMark/>
          </w:tcPr>
          <w:p w:rsidR="00067B11" w:rsidRPr="00493099" w:rsidRDefault="00067B11" w:rsidP="00067B11">
            <w:pPr>
              <w:rPr>
                <w:sz w:val="18"/>
                <w:szCs w:val="18"/>
              </w:rPr>
            </w:pPr>
            <w:r w:rsidRPr="00493099">
              <w:rPr>
                <w:sz w:val="18"/>
                <w:szCs w:val="18"/>
              </w:rPr>
              <w:t>Intermolecular forces are attractions between molecules; bonds are intramolecular forces (within molecules)</w:t>
            </w:r>
          </w:p>
        </w:tc>
      </w:tr>
    </w:tbl>
    <w:p w:rsidR="00067B11" w:rsidRDefault="00067B11" w:rsidP="009B51A3"/>
    <w:p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700"/>
        <w:gridCol w:w="4495"/>
      </w:tblGrid>
      <w:tr w:rsidR="00067B11" w:rsidRPr="009B51A3" w:rsidTr="00067B11">
        <w:trPr>
          <w:trHeight w:val="20"/>
        </w:trPr>
        <w:tc>
          <w:tcPr>
            <w:tcW w:w="10790" w:type="dxa"/>
            <w:gridSpan w:val="3"/>
          </w:tcPr>
          <w:p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t>Unit 5: Kinetics</w:t>
            </w:r>
          </w:p>
        </w:tc>
      </w:tr>
      <w:tr w:rsidR="00067B11" w:rsidRPr="009B51A3" w:rsidTr="00067B11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49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rate law based only on reactants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rate law that includes products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Rate laws are based only on reactants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rate law that includes the rate constant k as part of it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rate law without k being included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Incomplete rate law if k is not included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Value of k with units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Value of k without units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Units required to earn point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Spec</w:t>
            </w:r>
            <w:r w:rsidR="00304759">
              <w:rPr>
                <w:sz w:val="18"/>
              </w:rPr>
              <w:t>ific parts of the molecules</w:t>
            </w:r>
            <w:r w:rsidRPr="00067B11">
              <w:rPr>
                <w:sz w:val="18"/>
              </w:rPr>
              <w:t xml:space="preserve"> must collide in </w:t>
            </w:r>
            <w:r w:rsidR="00304759">
              <w:rPr>
                <w:sz w:val="18"/>
              </w:rPr>
              <w:t xml:space="preserve">the correct orientation in </w:t>
            </w:r>
            <w:r w:rsidRPr="00067B11">
              <w:rPr>
                <w:sz w:val="18"/>
              </w:rPr>
              <w:t>order for the reaction to occur</w:t>
            </w:r>
          </w:p>
        </w:tc>
        <w:tc>
          <w:tcPr>
            <w:tcW w:w="2700" w:type="dxa"/>
            <w:hideMark/>
          </w:tcPr>
          <w:p w:rsidR="00067B11" w:rsidRPr="00067B11" w:rsidRDefault="00067B11" w:rsidP="00304759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“</w:t>
            </w:r>
            <w:r w:rsidR="00304759">
              <w:rPr>
                <w:sz w:val="18"/>
              </w:rPr>
              <w:t>Molecules must collide right”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Show your understanding of the chemistry at play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validation of a proposed mechanism by showing that the rate law matches the slow (rate-determining step) and the mechanism matching the overall stoichiometry for the reaction.</w:t>
            </w:r>
          </w:p>
        </w:tc>
        <w:tc>
          <w:tcPr>
            <w:tcW w:w="270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justification of a mechanism just by saying “it matches the rate law” or “the intermediates cancel to give the overall process”.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The rate law must be discussed as matching the rate-determining step, and the overall stoichiometry should always match for any proposed mechanism – an understanding of the rate determining step must be demonstrated. (ref. 2019 #6b)</w:t>
            </w:r>
          </w:p>
        </w:tc>
      </w:tr>
    </w:tbl>
    <w:p w:rsidR="00067B11" w:rsidRDefault="00067B11" w:rsidP="009B51A3">
      <w:r>
        <w:t xml:space="preserve"> </w:t>
      </w:r>
    </w:p>
    <w:p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340"/>
        <w:gridCol w:w="4855"/>
      </w:tblGrid>
      <w:tr w:rsidR="00067B11" w:rsidRPr="009B51A3" w:rsidTr="00067B11">
        <w:trPr>
          <w:trHeight w:val="20"/>
        </w:trPr>
        <w:tc>
          <w:tcPr>
            <w:tcW w:w="10790" w:type="dxa"/>
            <w:gridSpan w:val="3"/>
          </w:tcPr>
          <w:p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t>Unit 6: Thermodynamics</w:t>
            </w:r>
          </w:p>
        </w:tc>
      </w:tr>
      <w:tr w:rsidR="00067B11" w:rsidRPr="009B51A3" w:rsidTr="00067B11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“Thermodynamically favorable”, “thermodynamically feasible”</w:t>
            </w:r>
          </w:p>
        </w:tc>
        <w:tc>
          <w:tcPr>
            <w:tcW w:w="23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“Spontaneous”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Preferred AP language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Values with correct signs</w:t>
            </w:r>
          </w:p>
        </w:tc>
        <w:tc>
          <w:tcPr>
            <w:tcW w:w="23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Values with incorrect signs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Necessary for correct calculations and determinations – watch signs based on bonds breaking/forming, heat flow in calorimetry indicated by temperature changes, signs that may change in application of Hess’ Law, etc.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Using values of q recognizing that it is the amount of energy absorbed/released during a thermodynamic change</w:t>
            </w:r>
          </w:p>
        </w:tc>
        <w:tc>
          <w:tcPr>
            <w:tcW w:w="23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Using values of q interchangeably as values of ΔH without taking the entire situation into account.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ΔH and q do not have identical meaning; ΔH is the enthalpy change for a reaction, q is the overall amount of heat exchanged ;  Stoichiometric relationships, the component of the system being examined, etc. may influence how q should be manipulated to determine  ΔH (ref. 2018 #1)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In using q=</w:t>
            </w:r>
            <w:proofErr w:type="spellStart"/>
            <w:r w:rsidRPr="00067B11">
              <w:rPr>
                <w:sz w:val="18"/>
              </w:rPr>
              <w:t>mcΔT</w:t>
            </w:r>
            <w:proofErr w:type="spellEnd"/>
            <w:r w:rsidRPr="00067B11">
              <w:rPr>
                <w:sz w:val="18"/>
              </w:rPr>
              <w:t xml:space="preserve"> for solutions, using mass of ENTIRE solution for m</w:t>
            </w:r>
          </w:p>
        </w:tc>
        <w:tc>
          <w:tcPr>
            <w:tcW w:w="23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Using mass of only one component of solution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When using q=</w:t>
            </w:r>
            <w:proofErr w:type="spellStart"/>
            <w:r w:rsidRPr="00067B11">
              <w:rPr>
                <w:sz w:val="18"/>
              </w:rPr>
              <w:t>mcΔT</w:t>
            </w:r>
            <w:proofErr w:type="spellEnd"/>
            <w:r w:rsidRPr="00067B11">
              <w:rPr>
                <w:sz w:val="18"/>
              </w:rPr>
              <w:t>, the mass of the entire system being examined must be used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Use a thermometer to measure temperature values, and then subtract to find ΔT</w:t>
            </w:r>
          </w:p>
        </w:tc>
        <w:tc>
          <w:tcPr>
            <w:tcW w:w="23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Use a thermometer to measure ΔT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A thermometer doesn’t measure  ΔT, it measures T values that can then be used to calculate  ΔT  (ref. 2019 #1e)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 xml:space="preserve">ΔH°=Σ(enthalpies of bonds broken) –Σ(enthalpies of bonds formed) when calculating  </w:t>
            </w:r>
            <w:proofErr w:type="spellStart"/>
            <w:r w:rsidRPr="00067B11">
              <w:rPr>
                <w:sz w:val="18"/>
              </w:rPr>
              <w:t>ΔH°</w:t>
            </w:r>
            <w:r w:rsidRPr="00067B11">
              <w:rPr>
                <w:sz w:val="18"/>
                <w:vertAlign w:val="subscript"/>
              </w:rPr>
              <w:t>rxn</w:t>
            </w:r>
            <w:proofErr w:type="spellEnd"/>
            <w:r w:rsidRPr="00067B11">
              <w:rPr>
                <w:sz w:val="18"/>
              </w:rPr>
              <w:t xml:space="preserve">  from bond energies</w:t>
            </w:r>
          </w:p>
        </w:tc>
        <w:tc>
          <w:tcPr>
            <w:tcW w:w="23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proofErr w:type="spellStart"/>
            <w:r w:rsidRPr="00067B11">
              <w:rPr>
                <w:sz w:val="18"/>
              </w:rPr>
              <w:t>ΔH°</w:t>
            </w:r>
            <w:r w:rsidRPr="00067B11">
              <w:rPr>
                <w:sz w:val="18"/>
                <w:vertAlign w:val="subscript"/>
              </w:rPr>
              <w:t>rxn</w:t>
            </w:r>
            <w:proofErr w:type="spellEnd"/>
            <w:r w:rsidRPr="00067B11">
              <w:rPr>
                <w:sz w:val="18"/>
              </w:rPr>
              <w:t xml:space="preserve"> = </w:t>
            </w:r>
            <w:proofErr w:type="spellStart"/>
            <w:r w:rsidRPr="00067B11">
              <w:rPr>
                <w:sz w:val="18"/>
              </w:rPr>
              <w:t>ΔH</w:t>
            </w:r>
            <w:r w:rsidRPr="00067B11">
              <w:rPr>
                <w:sz w:val="18"/>
                <w:vertAlign w:val="subscript"/>
              </w:rPr>
              <w:t>products</w:t>
            </w:r>
            <w:proofErr w:type="spellEnd"/>
            <w:r w:rsidRPr="00067B11">
              <w:rPr>
                <w:sz w:val="18"/>
              </w:rPr>
              <w:t xml:space="preserve"> – </w:t>
            </w:r>
            <w:proofErr w:type="spellStart"/>
            <w:r w:rsidRPr="00067B11">
              <w:rPr>
                <w:sz w:val="18"/>
              </w:rPr>
              <w:t>ΔH</w:t>
            </w:r>
            <w:r w:rsidRPr="00067B11">
              <w:rPr>
                <w:sz w:val="18"/>
                <w:vertAlign w:val="subscript"/>
              </w:rPr>
              <w:t>reactants</w:t>
            </w:r>
            <w:proofErr w:type="spellEnd"/>
            <w:r w:rsidRPr="00067B11">
              <w:rPr>
                <w:sz w:val="18"/>
              </w:rPr>
              <w:t xml:space="preserve"> when calculating  </w:t>
            </w:r>
            <w:proofErr w:type="spellStart"/>
            <w:r w:rsidRPr="00067B11">
              <w:rPr>
                <w:sz w:val="18"/>
              </w:rPr>
              <w:t>ΔH°</w:t>
            </w:r>
            <w:r w:rsidRPr="00067B11">
              <w:rPr>
                <w:sz w:val="18"/>
                <w:vertAlign w:val="subscript"/>
              </w:rPr>
              <w:t>rxn</w:t>
            </w:r>
            <w:proofErr w:type="spellEnd"/>
            <w:r w:rsidRPr="00067B11">
              <w:rPr>
                <w:sz w:val="18"/>
              </w:rPr>
              <w:t xml:space="preserve"> from bond energies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 xml:space="preserve">Applying the wrong formula will give an incorrect sign for the  </w:t>
            </w:r>
            <w:proofErr w:type="spellStart"/>
            <w:r w:rsidRPr="00067B11">
              <w:rPr>
                <w:sz w:val="18"/>
              </w:rPr>
              <w:t>ΔH°</w:t>
            </w:r>
            <w:r w:rsidRPr="00067B11">
              <w:rPr>
                <w:sz w:val="18"/>
                <w:vertAlign w:val="subscript"/>
              </w:rPr>
              <w:t>rxn</w:t>
            </w:r>
            <w:proofErr w:type="spellEnd"/>
            <w:r w:rsidRPr="00067B11">
              <w:rPr>
                <w:sz w:val="18"/>
                <w:vertAlign w:val="subscript"/>
              </w:rPr>
              <w:t xml:space="preserve"> </w:t>
            </w:r>
            <w:r w:rsidRPr="00067B11">
              <w:rPr>
                <w:sz w:val="18"/>
              </w:rPr>
              <w:t>(ref. 2017 #2b)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Multiplying bond energy values by stoichiometric factors as well as number of bonds in a molecule when calculating ΔH from bond energies</w:t>
            </w:r>
          </w:p>
        </w:tc>
        <w:tc>
          <w:tcPr>
            <w:tcW w:w="23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Only using number of bonds in a single molecule without taking stoichiometric factors into account</w:t>
            </w:r>
          </w:p>
        </w:tc>
        <w:tc>
          <w:tcPr>
            <w:tcW w:w="485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</w:rPr>
            </w:pPr>
            <w:r w:rsidRPr="00067B11">
              <w:rPr>
                <w:sz w:val="18"/>
              </w:rPr>
              <w:t>Stoichiometry factors represent the number of molecules taking part in the reaction, so number of bonds in a single molecule must be multiplied by this coefficient (ref. 2019 #2g)</w:t>
            </w:r>
          </w:p>
        </w:tc>
      </w:tr>
    </w:tbl>
    <w:p w:rsidR="00067B11" w:rsidRDefault="00067B11" w:rsidP="009B51A3"/>
    <w:p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150"/>
        <w:gridCol w:w="4495"/>
      </w:tblGrid>
      <w:tr w:rsidR="00067B11" w:rsidRPr="009B51A3" w:rsidTr="00067B11">
        <w:trPr>
          <w:trHeight w:val="20"/>
        </w:trPr>
        <w:tc>
          <w:tcPr>
            <w:tcW w:w="10790" w:type="dxa"/>
            <w:gridSpan w:val="3"/>
          </w:tcPr>
          <w:p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lastRenderedPageBreak/>
              <w:t>Unit 6: Equilibrium</w:t>
            </w:r>
          </w:p>
        </w:tc>
      </w:tr>
      <w:tr w:rsidR="00067B11" w:rsidRPr="009B51A3" w:rsidTr="00067B11">
        <w:trPr>
          <w:trHeight w:val="20"/>
        </w:trPr>
        <w:tc>
          <w:tcPr>
            <w:tcW w:w="314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49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Correct formulas (including charges!) for all species in equilibrium expressions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Substitutions, abbreviations, </w:t>
            </w:r>
            <w:proofErr w:type="spellStart"/>
            <w:r w:rsidRPr="00067B11">
              <w:rPr>
                <w:sz w:val="18"/>
                <w:szCs w:val="18"/>
              </w:rPr>
              <w:t>chargeless</w:t>
            </w:r>
            <w:proofErr w:type="spellEnd"/>
            <w:r w:rsidRPr="00067B11">
              <w:rPr>
                <w:sz w:val="18"/>
                <w:szCs w:val="18"/>
              </w:rPr>
              <w:t xml:space="preserve"> ions, other shorthand that may work out in calculations but does not represent the correct species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Equilibrium expressions must be written formally when requested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In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p</w:t>
            </w:r>
            <w:proofErr w:type="spellEnd"/>
            <w:r w:rsidRPr="00067B11">
              <w:rPr>
                <w:sz w:val="18"/>
                <w:szCs w:val="18"/>
              </w:rPr>
              <w:t xml:space="preserve"> expressions:  </w:t>
            </w:r>
            <w:proofErr w:type="spellStart"/>
            <w:r w:rsidRPr="00067B11">
              <w:rPr>
                <w:sz w:val="18"/>
                <w:szCs w:val="18"/>
              </w:rPr>
              <w:t>P</w:t>
            </w:r>
            <w:r w:rsidRPr="00067B11">
              <w:rPr>
                <w:sz w:val="18"/>
                <w:szCs w:val="18"/>
                <w:vertAlign w:val="subscript"/>
              </w:rPr>
              <w:t>species</w:t>
            </w:r>
            <w:proofErr w:type="spellEnd"/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In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p</w:t>
            </w:r>
            <w:proofErr w:type="spellEnd"/>
            <w:r w:rsidRPr="00067B11">
              <w:rPr>
                <w:sz w:val="18"/>
                <w:szCs w:val="18"/>
              </w:rPr>
              <w:t xml:space="preserve"> expressions: [species]  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Concentration (which is indicated by brackets around the species) is not used in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p</w:t>
            </w:r>
            <w:proofErr w:type="spellEnd"/>
            <w:r w:rsidRPr="00067B11">
              <w:rPr>
                <w:sz w:val="18"/>
                <w:szCs w:val="18"/>
              </w:rPr>
              <w:t xml:space="preserve"> - partial pressures are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expressions with EITHER concentration “[ ]” or partial pressures “P”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expressions that include both  concentration “[ ]” and partial pressures “P” in the same expression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Equilibrium expressions are written for either concentration values or partial pressure values, not both at the same time in a single expression (ref. 2019 #2e)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without units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with units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K is a </w:t>
            </w:r>
            <w:proofErr w:type="spellStart"/>
            <w:r w:rsidRPr="00067B11">
              <w:rPr>
                <w:sz w:val="18"/>
                <w:szCs w:val="18"/>
              </w:rPr>
              <w:t>unitless</w:t>
            </w:r>
            <w:proofErr w:type="spellEnd"/>
            <w:r w:rsidRPr="00067B11">
              <w:rPr>
                <w:sz w:val="18"/>
                <w:szCs w:val="18"/>
              </w:rPr>
              <w:t xml:space="preserve"> constant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“K is greater than 1, indicating that the products are present in a higher concentration and therefore equilibrium lies to the right”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“K is large”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Use specific values to demonstrate understanding about the meaning of K relative to the equilibrium position (ref. 2017 #2d)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“Proceeds”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“Shift” – if equilibrium has not yet been established (i.e. a precipitate has not yet been formed when evaluating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sp</w:t>
            </w:r>
            <w:proofErr w:type="spellEnd"/>
            <w:r w:rsidRPr="00067B11">
              <w:rPr>
                <w:sz w:val="18"/>
                <w:szCs w:val="18"/>
              </w:rPr>
              <w:t>)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If equilibrium is not yet established, then it cannot “shift” – </w:t>
            </w:r>
            <w:proofErr w:type="spellStart"/>
            <w:r w:rsidRPr="00067B11">
              <w:rPr>
                <w:sz w:val="18"/>
                <w:szCs w:val="18"/>
              </w:rPr>
              <w:t>rxn</w:t>
            </w:r>
            <w:proofErr w:type="spellEnd"/>
            <w:r w:rsidRPr="00067B11">
              <w:rPr>
                <w:sz w:val="18"/>
                <w:szCs w:val="18"/>
              </w:rPr>
              <w:t xml:space="preserve"> will proceed in a certain direction until equilibrium is established 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Calculations of K expressions that use concentrations/partial pressures at equilibrium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Calculations of K expressions that use initial concentrations/partial pressures 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 values can only be calculated using equilibrium values; if initial values are given, an ICE table (or similar method) should be used to determine equilibrium values before calculating the K value (ref. 2018 #5b)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Using stoichiometric factors in ICE tables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Neglecting stoichiometry when calculating change in equilibrium scenarios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Stoichiometry ratios impact how much an initial value is changed during the establishment of equilibrium (ref. 2019 #2f)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“x has been assumed to be so small relative to the original concentrations that it can be ignored”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Nothing about why you ignore x to avoid quadratics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Show you understand why you are making the decision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Discussion of Q vs. K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“reduce the stress”, or “due to Le </w:t>
            </w:r>
            <w:proofErr w:type="spellStart"/>
            <w:r w:rsidRPr="00067B11">
              <w:rPr>
                <w:sz w:val="18"/>
                <w:szCs w:val="18"/>
              </w:rPr>
              <w:t>Châtelier’s</w:t>
            </w:r>
            <w:proofErr w:type="spellEnd"/>
            <w:r w:rsidRPr="00067B11">
              <w:rPr>
                <w:sz w:val="18"/>
                <w:szCs w:val="18"/>
              </w:rPr>
              <w:t xml:space="preserve"> Principle”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Preferred AP language-shows a deeper understanding of chemical principals (ref. 2018 #5c)</w:t>
            </w:r>
          </w:p>
        </w:tc>
      </w:tr>
      <w:tr w:rsidR="00067B11" w:rsidRPr="00067B11" w:rsidTr="00067B11">
        <w:trPr>
          <w:trHeight w:val="20"/>
        </w:trPr>
        <w:tc>
          <w:tcPr>
            <w:tcW w:w="314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sp</w:t>
            </w:r>
            <w:proofErr w:type="spellEnd"/>
            <w:r w:rsidRPr="00067B11">
              <w:rPr>
                <w:sz w:val="18"/>
                <w:szCs w:val="18"/>
              </w:rPr>
              <w:t xml:space="preserve"> expressions that only contain the ions </w:t>
            </w:r>
          </w:p>
        </w:tc>
        <w:tc>
          <w:tcPr>
            <w:tcW w:w="315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sp</w:t>
            </w:r>
            <w:proofErr w:type="spellEnd"/>
            <w:r w:rsidRPr="00067B11">
              <w:rPr>
                <w:sz w:val="18"/>
                <w:szCs w:val="18"/>
              </w:rPr>
              <w:t xml:space="preserve"> expressions that contain or imply a species in the denominator</w:t>
            </w:r>
          </w:p>
        </w:tc>
        <w:tc>
          <w:tcPr>
            <w:tcW w:w="449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Solids and liquids are not included in equilibrium expressions</w:t>
            </w:r>
          </w:p>
        </w:tc>
      </w:tr>
    </w:tbl>
    <w:p w:rsidR="00067B11" w:rsidRDefault="00067B11" w:rsidP="009B51A3"/>
    <w:p w:rsidR="00067B11" w:rsidRDefault="00067B11" w:rsidP="009B51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4135"/>
      </w:tblGrid>
      <w:tr w:rsidR="00067B11" w:rsidRPr="009B51A3" w:rsidTr="00067B11">
        <w:trPr>
          <w:trHeight w:val="20"/>
        </w:trPr>
        <w:tc>
          <w:tcPr>
            <w:tcW w:w="10790" w:type="dxa"/>
            <w:gridSpan w:val="3"/>
          </w:tcPr>
          <w:p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t>Unit 8: Acid Base</w:t>
            </w:r>
          </w:p>
        </w:tc>
      </w:tr>
      <w:tr w:rsidR="00067B11" w:rsidRPr="009B51A3" w:rsidTr="00067B11">
        <w:trPr>
          <w:trHeight w:val="20"/>
        </w:trPr>
        <w:tc>
          <w:tcPr>
            <w:tcW w:w="359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13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“The solution is neutral when [H</w:t>
            </w:r>
            <w:r w:rsidRPr="00067B11">
              <w:rPr>
                <w:sz w:val="18"/>
                <w:szCs w:val="18"/>
                <w:vertAlign w:val="subscript"/>
              </w:rPr>
              <w:t>3</w:t>
            </w:r>
            <w:r w:rsidRPr="00067B11">
              <w:rPr>
                <w:sz w:val="18"/>
                <w:szCs w:val="18"/>
              </w:rPr>
              <w:t>O</w:t>
            </w:r>
            <w:r w:rsidRPr="00067B11">
              <w:rPr>
                <w:sz w:val="18"/>
                <w:szCs w:val="18"/>
                <w:vertAlign w:val="superscript"/>
              </w:rPr>
              <w:t>+</w:t>
            </w:r>
            <w:r w:rsidRPr="00067B11">
              <w:rPr>
                <w:sz w:val="18"/>
                <w:szCs w:val="18"/>
              </w:rPr>
              <w:t>] = [OH</w:t>
            </w:r>
            <w:r w:rsidRPr="00067B11">
              <w:rPr>
                <w:sz w:val="18"/>
                <w:szCs w:val="18"/>
                <w:vertAlign w:val="superscript"/>
              </w:rPr>
              <w:t>-</w:t>
            </w:r>
            <w:r w:rsidRPr="00067B11">
              <w:rPr>
                <w:sz w:val="18"/>
                <w:szCs w:val="18"/>
              </w:rPr>
              <w:t>].”</w:t>
            </w:r>
          </w:p>
        </w:tc>
        <w:tc>
          <w:tcPr>
            <w:tcW w:w="306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“The solution is neutral when pH=7.”</w:t>
            </w:r>
          </w:p>
        </w:tc>
        <w:tc>
          <w:tcPr>
            <w:tcW w:w="413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True definition of neutral – neutral is only pH of 7 when K</w:t>
            </w:r>
            <w:r w:rsidRPr="00067B11">
              <w:rPr>
                <w:bCs/>
                <w:sz w:val="18"/>
                <w:szCs w:val="18"/>
                <w:vertAlign w:val="subscript"/>
              </w:rPr>
              <w:t>w</w:t>
            </w:r>
            <w:r w:rsidRPr="00067B11">
              <w:rPr>
                <w:bCs/>
                <w:sz w:val="18"/>
                <w:szCs w:val="18"/>
              </w:rPr>
              <w:t xml:space="preserve"> = 1.0 x 10</w:t>
            </w:r>
            <w:r w:rsidRPr="00067B11">
              <w:rPr>
                <w:bCs/>
                <w:sz w:val="18"/>
                <w:szCs w:val="18"/>
                <w:vertAlign w:val="superscript"/>
              </w:rPr>
              <w:t>-14</w:t>
            </w:r>
            <w:r w:rsidRPr="00067B11">
              <w:rPr>
                <w:bCs/>
                <w:sz w:val="18"/>
                <w:szCs w:val="18"/>
                <w:vertAlign w:val="subscript"/>
              </w:rPr>
              <w:t xml:space="preserve"> </w:t>
            </w:r>
            <w:r w:rsidRPr="00067B11">
              <w:rPr>
                <w:bCs/>
                <w:sz w:val="18"/>
                <w:szCs w:val="18"/>
              </w:rPr>
              <w:t>(at 298 K)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“The pH &gt; 7 because the salt produced in the neutralization  behaves as a base: A</w:t>
            </w:r>
            <w:r w:rsidRPr="00067B11">
              <w:rPr>
                <w:sz w:val="18"/>
                <w:szCs w:val="18"/>
                <w:vertAlign w:val="superscript"/>
              </w:rPr>
              <w:t>-</w:t>
            </w:r>
            <w:r w:rsidRPr="00067B11">
              <w:rPr>
                <w:sz w:val="18"/>
                <w:szCs w:val="18"/>
              </w:rPr>
              <w:t xml:space="preserve"> + H</w:t>
            </w:r>
            <w:r w:rsidRPr="00067B11">
              <w:rPr>
                <w:sz w:val="18"/>
                <w:szCs w:val="18"/>
                <w:vertAlign w:val="subscript"/>
              </w:rPr>
              <w:t>2</w:t>
            </w:r>
            <w:r w:rsidRPr="00067B11">
              <w:rPr>
                <w:sz w:val="18"/>
                <w:szCs w:val="18"/>
              </w:rPr>
              <w:t>O  HA + OH</w:t>
            </w:r>
            <w:r w:rsidRPr="00067B11">
              <w:rPr>
                <w:sz w:val="18"/>
                <w:szCs w:val="18"/>
                <w:vertAlign w:val="superscript"/>
              </w:rPr>
              <w:t xml:space="preserve">- </w:t>
            </w:r>
            <w:r w:rsidRPr="00067B11">
              <w:rPr>
                <w:sz w:val="18"/>
                <w:szCs w:val="18"/>
              </w:rPr>
              <w:t>”</w:t>
            </w:r>
          </w:p>
        </w:tc>
        <w:tc>
          <w:tcPr>
            <w:tcW w:w="306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“The pH &gt; 7 because it’s a battle between weak acid and strong base and strong base wins.”</w:t>
            </w:r>
          </w:p>
        </w:tc>
        <w:tc>
          <w:tcPr>
            <w:tcW w:w="413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State the actual reason not the memory aid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proofErr w:type="spellStart"/>
            <w:r w:rsidRPr="00067B11">
              <w:rPr>
                <w:sz w:val="18"/>
                <w:szCs w:val="18"/>
              </w:rPr>
              <w:t>HCl</w:t>
            </w:r>
            <w:proofErr w:type="spellEnd"/>
            <w:r w:rsidRPr="00067B11">
              <w:rPr>
                <w:sz w:val="18"/>
                <w:szCs w:val="18"/>
              </w:rPr>
              <w:t xml:space="preserve">, </w:t>
            </w:r>
            <w:proofErr w:type="spellStart"/>
            <w:r w:rsidRPr="00067B11">
              <w:rPr>
                <w:sz w:val="18"/>
                <w:szCs w:val="18"/>
              </w:rPr>
              <w:t>HBr</w:t>
            </w:r>
            <w:proofErr w:type="spellEnd"/>
            <w:r w:rsidRPr="00067B11">
              <w:rPr>
                <w:sz w:val="18"/>
                <w:szCs w:val="18"/>
              </w:rPr>
              <w:t>, HI, HClO</w:t>
            </w:r>
            <w:r w:rsidRPr="00067B11">
              <w:rPr>
                <w:sz w:val="18"/>
                <w:szCs w:val="18"/>
                <w:vertAlign w:val="subscript"/>
              </w:rPr>
              <w:t>4</w:t>
            </w:r>
            <w:r w:rsidRPr="00067B11">
              <w:rPr>
                <w:sz w:val="18"/>
                <w:szCs w:val="18"/>
              </w:rPr>
              <w:t>, HNO</w:t>
            </w:r>
            <w:r w:rsidRPr="00067B11">
              <w:rPr>
                <w:sz w:val="18"/>
                <w:szCs w:val="18"/>
                <w:vertAlign w:val="subscript"/>
              </w:rPr>
              <w:t>3</w:t>
            </w:r>
            <w:r w:rsidRPr="00067B11">
              <w:rPr>
                <w:sz w:val="18"/>
                <w:szCs w:val="18"/>
              </w:rPr>
              <w:t xml:space="preserve"> as strong acids</w:t>
            </w:r>
          </w:p>
        </w:tc>
        <w:tc>
          <w:tcPr>
            <w:tcW w:w="306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Any other acid as strong</w:t>
            </w:r>
          </w:p>
        </w:tc>
        <w:tc>
          <w:tcPr>
            <w:tcW w:w="413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These are the strong acids listed in the Course and Exam Description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w</w:t>
            </w:r>
            <w:r w:rsidRPr="00067B11">
              <w:rPr>
                <w:sz w:val="18"/>
                <w:szCs w:val="18"/>
              </w:rPr>
              <w:t xml:space="preserve"> =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a</w:t>
            </w:r>
            <w:proofErr w:type="spellEnd"/>
            <w:r w:rsidRPr="00067B11">
              <w:rPr>
                <w:sz w:val="18"/>
                <w:szCs w:val="18"/>
              </w:rPr>
              <w:t xml:space="preserve"> x K</w:t>
            </w:r>
            <w:r w:rsidRPr="00067B11">
              <w:rPr>
                <w:sz w:val="18"/>
                <w:szCs w:val="18"/>
                <w:vertAlign w:val="subscript"/>
              </w:rPr>
              <w:t>b</w:t>
            </w:r>
            <w:r w:rsidRPr="00067B11">
              <w:rPr>
                <w:sz w:val="18"/>
                <w:szCs w:val="18"/>
              </w:rPr>
              <w:t xml:space="preserve"> for a conjugate pair</w:t>
            </w:r>
          </w:p>
        </w:tc>
        <w:tc>
          <w:tcPr>
            <w:tcW w:w="306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w</w:t>
            </w:r>
            <w:r w:rsidRPr="00067B11">
              <w:rPr>
                <w:sz w:val="18"/>
                <w:szCs w:val="18"/>
              </w:rPr>
              <w:t xml:space="preserve"> = </w:t>
            </w:r>
            <w:proofErr w:type="spellStart"/>
            <w:r w:rsidRPr="00067B11">
              <w:rPr>
                <w:sz w:val="18"/>
                <w:szCs w:val="18"/>
              </w:rPr>
              <w:t>K</w:t>
            </w:r>
            <w:r w:rsidRPr="00067B11">
              <w:rPr>
                <w:sz w:val="18"/>
                <w:szCs w:val="18"/>
                <w:vertAlign w:val="subscript"/>
              </w:rPr>
              <w:t>a</w:t>
            </w:r>
            <w:proofErr w:type="spellEnd"/>
            <w:r w:rsidRPr="00067B11">
              <w:rPr>
                <w:sz w:val="18"/>
                <w:szCs w:val="18"/>
              </w:rPr>
              <w:t xml:space="preserve"> x K</w:t>
            </w:r>
            <w:r w:rsidRPr="00067B11">
              <w:rPr>
                <w:sz w:val="18"/>
                <w:szCs w:val="18"/>
                <w:vertAlign w:val="subscript"/>
              </w:rPr>
              <w:t>b</w:t>
            </w:r>
            <w:r w:rsidRPr="00067B11">
              <w:rPr>
                <w:sz w:val="18"/>
                <w:szCs w:val="18"/>
              </w:rPr>
              <w:t xml:space="preserve"> for an unrelated acid/base pair</w:t>
            </w:r>
          </w:p>
        </w:tc>
        <w:tc>
          <w:tcPr>
            <w:tcW w:w="413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This equation only holds true for conjugate acid-base pairs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buffer system containing a weak acid and its conjugate base (or a weak base and its conjugate acid)</w:t>
            </w:r>
          </w:p>
        </w:tc>
        <w:tc>
          <w:tcPr>
            <w:tcW w:w="306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buffer system that contains a strong acid or base; a buffer containing any acid/base with a common ion</w:t>
            </w:r>
          </w:p>
        </w:tc>
        <w:tc>
          <w:tcPr>
            <w:tcW w:w="413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buffer results from the presence of a weak acid or base and its conjugate; a strong-strong system will neutralize without buffering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“This buffer has a higher buffering capacity because it contains a higher concentration of weak acid/base and its conjugate to react with added H</w:t>
            </w:r>
            <w:r w:rsidRPr="00067B11">
              <w:rPr>
                <w:sz w:val="18"/>
                <w:szCs w:val="18"/>
                <w:vertAlign w:val="superscript"/>
              </w:rPr>
              <w:t>+</w:t>
            </w:r>
            <w:r w:rsidRPr="00067B11">
              <w:rPr>
                <w:sz w:val="18"/>
                <w:szCs w:val="18"/>
              </w:rPr>
              <w:t xml:space="preserve"> or OH</w:t>
            </w:r>
            <w:r w:rsidRPr="00067B11">
              <w:rPr>
                <w:sz w:val="18"/>
                <w:szCs w:val="18"/>
                <w:vertAlign w:val="superscript"/>
              </w:rPr>
              <w:t>-</w:t>
            </w:r>
            <w:r w:rsidRPr="00067B11">
              <w:rPr>
                <w:sz w:val="18"/>
                <w:szCs w:val="18"/>
              </w:rPr>
              <w:t xml:space="preserve"> ions.”</w:t>
            </w:r>
          </w:p>
        </w:tc>
        <w:tc>
          <w:tcPr>
            <w:tcW w:w="306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“Higher volume of weak acid/base”</w:t>
            </w:r>
          </w:p>
        </w:tc>
        <w:tc>
          <w:tcPr>
            <w:tcW w:w="413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Buffering capacity is related to the presence of both the weak species and its conjugate.</w:t>
            </w:r>
          </w:p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 </w:t>
            </w:r>
          </w:p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 </w:t>
            </w:r>
          </w:p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 </w:t>
            </w:r>
          </w:p>
        </w:tc>
      </w:tr>
      <w:tr w:rsidR="00067B11" w:rsidRPr="00067B11" w:rsidTr="00067B11">
        <w:trPr>
          <w:trHeight w:val="20"/>
        </w:trPr>
        <w:tc>
          <w:tcPr>
            <w:tcW w:w="359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Identifying a salt as making a good choice for a specified buffer because the </w:t>
            </w:r>
            <w:proofErr w:type="spellStart"/>
            <w:r w:rsidRPr="00067B11">
              <w:rPr>
                <w:sz w:val="18"/>
                <w:szCs w:val="18"/>
              </w:rPr>
              <w:t>pK</w:t>
            </w:r>
            <w:r w:rsidRPr="00067B11">
              <w:rPr>
                <w:sz w:val="18"/>
                <w:szCs w:val="18"/>
                <w:vertAlign w:val="subscript"/>
              </w:rPr>
              <w:t>a</w:t>
            </w:r>
            <w:proofErr w:type="spellEnd"/>
            <w:r w:rsidRPr="00067B11">
              <w:rPr>
                <w:sz w:val="18"/>
                <w:szCs w:val="18"/>
              </w:rPr>
              <w:t xml:space="preserve"> is close to the desired pH for the buffer.</w:t>
            </w:r>
          </w:p>
        </w:tc>
        <w:tc>
          <w:tcPr>
            <w:tcW w:w="3060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Identifying a salt as making a good choice for a specified buffer because the </w:t>
            </w:r>
            <w:proofErr w:type="spellStart"/>
            <w:r w:rsidRPr="00067B11">
              <w:rPr>
                <w:sz w:val="18"/>
                <w:szCs w:val="18"/>
              </w:rPr>
              <w:t>pK</w:t>
            </w:r>
            <w:r w:rsidRPr="00067B11">
              <w:rPr>
                <w:sz w:val="18"/>
                <w:szCs w:val="18"/>
                <w:vertAlign w:val="subscript"/>
              </w:rPr>
              <w:t>b</w:t>
            </w:r>
            <w:proofErr w:type="spellEnd"/>
            <w:r w:rsidRPr="00067B11">
              <w:rPr>
                <w:sz w:val="18"/>
                <w:szCs w:val="18"/>
              </w:rPr>
              <w:t xml:space="preserve"> is close to the desired pH for the buffer. </w:t>
            </w:r>
          </w:p>
        </w:tc>
        <w:tc>
          <w:tcPr>
            <w:tcW w:w="4135" w:type="dxa"/>
            <w:hideMark/>
          </w:tcPr>
          <w:p w:rsidR="00067B11" w:rsidRPr="00067B11" w:rsidRDefault="00067B11" w:rsidP="00067B11">
            <w:pPr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An effective buffer is one in which is </w:t>
            </w:r>
            <w:proofErr w:type="spellStart"/>
            <w:r w:rsidRPr="00067B11">
              <w:rPr>
                <w:sz w:val="18"/>
                <w:szCs w:val="18"/>
              </w:rPr>
              <w:t>pKa</w:t>
            </w:r>
            <w:proofErr w:type="spellEnd"/>
            <w:r w:rsidRPr="00067B11">
              <w:rPr>
                <w:sz w:val="18"/>
                <w:szCs w:val="18"/>
              </w:rPr>
              <w:t xml:space="preserve"> of the weak acid is approximately equal to the target </w:t>
            </w:r>
            <w:proofErr w:type="spellStart"/>
            <w:r w:rsidRPr="00067B11">
              <w:rPr>
                <w:sz w:val="18"/>
                <w:szCs w:val="18"/>
              </w:rPr>
              <w:t>pH.</w:t>
            </w:r>
            <w:proofErr w:type="spellEnd"/>
            <w:r w:rsidRPr="00067B11">
              <w:rPr>
                <w:sz w:val="18"/>
                <w:szCs w:val="18"/>
              </w:rPr>
              <w:t xml:space="preserve"> (ref. 2019 #3h)</w:t>
            </w:r>
          </w:p>
        </w:tc>
      </w:tr>
    </w:tbl>
    <w:p w:rsidR="00067B11" w:rsidRPr="00067B11" w:rsidRDefault="00067B11" w:rsidP="00067B11">
      <w:pPr>
        <w:spacing w:after="0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40"/>
        <w:gridCol w:w="4315"/>
      </w:tblGrid>
      <w:tr w:rsidR="00067B11" w:rsidRPr="009B51A3" w:rsidTr="00067B11">
        <w:trPr>
          <w:trHeight w:val="20"/>
        </w:trPr>
        <w:tc>
          <w:tcPr>
            <w:tcW w:w="10790" w:type="dxa"/>
            <w:gridSpan w:val="3"/>
          </w:tcPr>
          <w:p w:rsidR="00067B11" w:rsidRPr="009B51A3" w:rsidRDefault="00067B11" w:rsidP="00067B11">
            <w:pPr>
              <w:rPr>
                <w:b/>
              </w:rPr>
            </w:pPr>
            <w:r>
              <w:rPr>
                <w:b/>
              </w:rPr>
              <w:lastRenderedPageBreak/>
              <w:t>Unit 9: Applications of Thermodynamics</w:t>
            </w:r>
          </w:p>
        </w:tc>
      </w:tr>
      <w:tr w:rsidR="00067B11" w:rsidRPr="009B51A3" w:rsidTr="001C731C">
        <w:trPr>
          <w:trHeight w:val="20"/>
        </w:trPr>
        <w:tc>
          <w:tcPr>
            <w:tcW w:w="323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Write THIS...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NOT That!</w:t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:rsidR="00067B11" w:rsidRPr="009B51A3" w:rsidRDefault="00067B11" w:rsidP="00067B11">
            <w:pPr>
              <w:jc w:val="center"/>
              <w:rPr>
                <w:b/>
              </w:rPr>
            </w:pPr>
            <w:r w:rsidRPr="009B51A3">
              <w:rPr>
                <w:b/>
              </w:rPr>
              <w:t>Rational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Reference number of molecules and phases when justifying a change in ΔS based on a reaction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Making vague references to “similar structures” or no justification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An increase in  ΔS is due to an increase in number of gaseous products (ref. 2017 #2c)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Justify thermodynamic favorability in terms of both enthalpy and entropy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thermodynamic favorability discussion referencing only enthalpy or entropy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Thermodynamic favorability depends on both ΔH and ΔS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Arrangement/Dispersions of matter or energy along with particle-level reasoning for explaining the sign of ΔS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Disorder, chaos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Disorder is the effect, not the cause, of an increase in entropy (ref. 2019 #1g)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ΔG determines thermodynamic favorability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Referencing ΔH or ΔS alone as determining thermodynamic favorability 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All the thermodynamic properties contribute to favorability – hence using ΔG = ΔH-TΔS which takes all into account (ref. 2019 #1h)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Use of correct value of R with thermodynamic data (that corresponds to energy units)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R value that does not correspond to the units needed in the problem 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Units of the R value must match those used in the problem, and correct units must be applied at the end, or the answer is incorrect (ref. 2018 #2b)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“Ions flow through the salt bridge to maintain a charge balance in each half-cell.”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“Electrons flow through the salt bridge to equilibrate charge.”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Electrons do not flow through the salt bridge; ions flow through the salt bridge, electrons flow through the wire (ref. 2018 #6a)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Loss of mass of electrode is due to atoms of electrode going into solution as ions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Loss of mass of electrode is due to loss of electrons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Electrons have extremely small (negligible in this case) mass</w:t>
            </w:r>
          </w:p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(ref. 2014 #3)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Discussion of Q vs. K for changes in cell potential after a change, or qualitative discussion of Nernst Equation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Discussion of Le </w:t>
            </w:r>
            <w:proofErr w:type="spellStart"/>
            <w:r w:rsidRPr="00067B11">
              <w:rPr>
                <w:sz w:val="18"/>
                <w:szCs w:val="18"/>
              </w:rPr>
              <w:t>Châtelier’s</w:t>
            </w:r>
            <w:proofErr w:type="spellEnd"/>
            <w:r w:rsidRPr="00067B11">
              <w:rPr>
                <w:sz w:val="18"/>
                <w:szCs w:val="18"/>
              </w:rPr>
              <w:t xml:space="preserve"> principle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An galvanic cell does not attain equilibrium while working – when it does, it stops producing current (is “dead”)</w:t>
            </w:r>
          </w:p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(ref. 2014 #3)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An equation that is balanced with respect to both number of atoms and charge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An equation that is unbalanced in atoms, charge or both; an equation that shows electrons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bCs/>
                <w:sz w:val="18"/>
                <w:szCs w:val="18"/>
              </w:rPr>
              <w:t>Recognize that equations need to be balanced with respect to both atoms and charge – this means that half-reactions may need to multiplied by a coefficient to balance charge for the overall reaction, even if atoms are already balanced, and then the electrons on both sides cancel out and are not written (ref. 2018 #3d)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E° value not multiplied by stoichiometric factors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E° value that has been multiplied by a stoichiometric value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E° is intensive and therefore does not change if the half-cell is multiplied by a stoichiometric factor to balance charge (ref. 2018 #6b)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Standard cell potential when discussing a REDOX reaction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Standard reduction potential when discussing a REDOX reaction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A redox reaction contains both oxidation and reduction; therefore the E° for the reaction is the sum of the standard reduction potentials of both the oxidation and reduction half-reactions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When writing </w:t>
            </w:r>
            <w:proofErr w:type="spellStart"/>
            <w:r w:rsidRPr="00067B11">
              <w:rPr>
                <w:sz w:val="18"/>
                <w:szCs w:val="18"/>
              </w:rPr>
              <w:t>E°</w:t>
            </w:r>
            <w:r w:rsidRPr="00067B11">
              <w:rPr>
                <w:sz w:val="18"/>
                <w:szCs w:val="18"/>
                <w:vertAlign w:val="subscript"/>
              </w:rPr>
              <w:t>cell</w:t>
            </w:r>
            <w:proofErr w:type="spellEnd"/>
            <w:r w:rsidRPr="00067B11">
              <w:rPr>
                <w:sz w:val="18"/>
                <w:szCs w:val="18"/>
              </w:rPr>
              <w:t xml:space="preserve"> for redox reactions, one </w:t>
            </w:r>
            <w:proofErr w:type="spellStart"/>
            <w:r w:rsidRPr="00067B11">
              <w:rPr>
                <w:sz w:val="18"/>
                <w:szCs w:val="18"/>
              </w:rPr>
              <w:t>rxn</w:t>
            </w:r>
            <w:proofErr w:type="spellEnd"/>
            <w:r w:rsidRPr="00067B11">
              <w:rPr>
                <w:sz w:val="18"/>
                <w:szCs w:val="18"/>
              </w:rPr>
              <w:t xml:space="preserve"> must be reversed so that </w:t>
            </w:r>
            <w:proofErr w:type="spellStart"/>
            <w:r w:rsidRPr="00067B11">
              <w:rPr>
                <w:sz w:val="18"/>
                <w:szCs w:val="18"/>
              </w:rPr>
              <w:t>E°</w:t>
            </w:r>
            <w:r w:rsidRPr="00067B11">
              <w:rPr>
                <w:sz w:val="18"/>
                <w:szCs w:val="18"/>
                <w:vertAlign w:val="subscript"/>
              </w:rPr>
              <w:t>cell</w:t>
            </w:r>
            <w:proofErr w:type="spellEnd"/>
            <w:r w:rsidRPr="00067B11">
              <w:rPr>
                <w:sz w:val="18"/>
                <w:szCs w:val="18"/>
              </w:rPr>
              <w:t xml:space="preserve"> is positive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 xml:space="preserve">An </w:t>
            </w:r>
            <w:proofErr w:type="spellStart"/>
            <w:r w:rsidRPr="00067B11">
              <w:rPr>
                <w:sz w:val="18"/>
                <w:szCs w:val="18"/>
              </w:rPr>
              <w:t>E°</w:t>
            </w:r>
            <w:r w:rsidRPr="00067B11">
              <w:rPr>
                <w:sz w:val="18"/>
                <w:szCs w:val="18"/>
                <w:vertAlign w:val="subscript"/>
              </w:rPr>
              <w:t>cell</w:t>
            </w:r>
            <w:proofErr w:type="spellEnd"/>
            <w:r w:rsidRPr="00067B11">
              <w:rPr>
                <w:sz w:val="18"/>
                <w:szCs w:val="18"/>
              </w:rPr>
              <w:t xml:space="preserve"> that is negative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There has to be thermodynamic favorability, which depends on the +</w:t>
            </w:r>
            <w:proofErr w:type="spellStart"/>
            <w:r w:rsidRPr="00067B11">
              <w:rPr>
                <w:sz w:val="18"/>
                <w:szCs w:val="18"/>
              </w:rPr>
              <w:t>E°</w:t>
            </w:r>
            <w:r w:rsidRPr="00067B11">
              <w:rPr>
                <w:sz w:val="18"/>
                <w:szCs w:val="18"/>
                <w:vertAlign w:val="subscript"/>
              </w:rPr>
              <w:t>cell</w:t>
            </w:r>
            <w:proofErr w:type="spellEnd"/>
            <w:r w:rsidRPr="00067B11">
              <w:rPr>
                <w:sz w:val="18"/>
                <w:szCs w:val="18"/>
              </w:rPr>
              <w:t xml:space="preserve">, in order for the </w:t>
            </w:r>
            <w:proofErr w:type="spellStart"/>
            <w:r w:rsidRPr="00067B11">
              <w:rPr>
                <w:sz w:val="18"/>
                <w:szCs w:val="18"/>
              </w:rPr>
              <w:t>rxn</w:t>
            </w:r>
            <w:proofErr w:type="spellEnd"/>
            <w:r w:rsidRPr="00067B11">
              <w:rPr>
                <w:sz w:val="18"/>
                <w:szCs w:val="18"/>
              </w:rPr>
              <w:t xml:space="preserve"> to work (ref. 2019 #2b)</w:t>
            </w:r>
          </w:p>
        </w:tc>
      </w:tr>
      <w:tr w:rsidR="00067B11" w:rsidRPr="00067B11" w:rsidTr="001C731C">
        <w:trPr>
          <w:trHeight w:val="20"/>
        </w:trPr>
        <w:tc>
          <w:tcPr>
            <w:tcW w:w="323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Using the cell potential for E° in ΔG = -</w:t>
            </w:r>
            <w:proofErr w:type="spellStart"/>
            <w:r w:rsidRPr="00067B11">
              <w:rPr>
                <w:sz w:val="18"/>
                <w:szCs w:val="18"/>
              </w:rPr>
              <w:t>nFE</w:t>
            </w:r>
            <w:proofErr w:type="spellEnd"/>
            <w:r w:rsidRPr="00067B11">
              <w:rPr>
                <w:sz w:val="18"/>
                <w:szCs w:val="18"/>
              </w:rPr>
              <w:t>° calculations</w:t>
            </w:r>
          </w:p>
        </w:tc>
        <w:tc>
          <w:tcPr>
            <w:tcW w:w="3240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Using a half-cell potential for  E° in ΔG = -</w:t>
            </w:r>
            <w:proofErr w:type="spellStart"/>
            <w:r w:rsidRPr="00067B11">
              <w:rPr>
                <w:sz w:val="18"/>
                <w:szCs w:val="18"/>
              </w:rPr>
              <w:t>nFE</w:t>
            </w:r>
            <w:proofErr w:type="spellEnd"/>
            <w:r w:rsidRPr="00067B11">
              <w:rPr>
                <w:sz w:val="18"/>
                <w:szCs w:val="18"/>
              </w:rPr>
              <w:t>° calculations</w:t>
            </w:r>
          </w:p>
        </w:tc>
        <w:tc>
          <w:tcPr>
            <w:tcW w:w="4315" w:type="dxa"/>
            <w:hideMark/>
          </w:tcPr>
          <w:p w:rsidR="00067B11" w:rsidRPr="00067B11" w:rsidRDefault="00067B11" w:rsidP="00067B11">
            <w:pPr>
              <w:spacing w:line="259" w:lineRule="auto"/>
              <w:rPr>
                <w:sz w:val="18"/>
                <w:szCs w:val="18"/>
              </w:rPr>
            </w:pPr>
            <w:r w:rsidRPr="00067B11">
              <w:rPr>
                <w:sz w:val="18"/>
                <w:szCs w:val="18"/>
              </w:rPr>
              <w:t>This equation uses the full cell potential, not for a half-reaction (ref. 2018 #6b)</w:t>
            </w:r>
          </w:p>
        </w:tc>
      </w:tr>
    </w:tbl>
    <w:p w:rsidR="00067B11" w:rsidRDefault="00067B11" w:rsidP="009B51A3"/>
    <w:p w:rsidR="00304759" w:rsidRDefault="001C731C" w:rsidP="009B51A3">
      <w:pPr>
        <w:rPr>
          <w:b/>
        </w:rPr>
      </w:pPr>
      <w:r>
        <w:rPr>
          <w:b/>
        </w:rPr>
        <w:t xml:space="preserve">Any others you can think of?! </w:t>
      </w:r>
      <w:r>
        <w:rPr>
          <w:b/>
        </w:rPr>
        <w:br/>
        <w:t>Tell Mrs. Farmer so she can add them for next year!</w:t>
      </w:r>
    </w:p>
    <w:p w:rsidR="00304759" w:rsidRPr="001C731C" w:rsidRDefault="00304759" w:rsidP="009B51A3">
      <w:pPr>
        <w:rPr>
          <w:b/>
        </w:rPr>
      </w:pPr>
      <w:r>
        <w:rPr>
          <w:b/>
        </w:rPr>
        <w:t xml:space="preserve">See any weird ones that you think need to be rewritten/fixed? Tell Mrs. Farmer so she can fix them! </w:t>
      </w:r>
      <w:bookmarkStart w:id="0" w:name="_GoBack"/>
      <w:bookmarkEnd w:id="0"/>
    </w:p>
    <w:sectPr w:rsidR="00304759" w:rsidRPr="001C731C" w:rsidSect="00067B11">
      <w:headerReference w:type="first" r:id="rId7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45" w:rsidRDefault="00570E45" w:rsidP="009B51A3">
      <w:pPr>
        <w:spacing w:after="0" w:line="240" w:lineRule="auto"/>
      </w:pPr>
      <w:r>
        <w:separator/>
      </w:r>
    </w:p>
  </w:endnote>
  <w:endnote w:type="continuationSeparator" w:id="0">
    <w:p w:rsidR="00570E45" w:rsidRDefault="00570E45" w:rsidP="009B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45" w:rsidRDefault="00570E45" w:rsidP="009B51A3">
      <w:pPr>
        <w:spacing w:after="0" w:line="240" w:lineRule="auto"/>
      </w:pPr>
      <w:r>
        <w:separator/>
      </w:r>
    </w:p>
  </w:footnote>
  <w:footnote w:type="continuationSeparator" w:id="0">
    <w:p w:rsidR="00570E45" w:rsidRDefault="00570E45" w:rsidP="009B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11" w:rsidRPr="00067B11" w:rsidRDefault="00067B11" w:rsidP="00067B11">
    <w:pPr>
      <w:spacing w:after="0"/>
      <w:jc w:val="center"/>
      <w:rPr>
        <w:rFonts w:ascii="Impact" w:hAnsi="Impact"/>
        <w:sz w:val="24"/>
      </w:rPr>
    </w:pPr>
    <w:r>
      <w:rPr>
        <w:rFonts w:ascii="Impact" w:hAnsi="Impact"/>
        <w:sz w:val="24"/>
      </w:rPr>
      <w:t>Write THIS...NOT That!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B14F4"/>
    <w:multiLevelType w:val="hybridMultilevel"/>
    <w:tmpl w:val="23E46898"/>
    <w:lvl w:ilvl="0" w:tplc="0256E3BA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Noto Sans Symbols" w:hAnsi="Noto Sans Symbols" w:hint="default"/>
      </w:rPr>
    </w:lvl>
    <w:lvl w:ilvl="1" w:tplc="EA5205C2" w:tentative="1">
      <w:start w:val="1"/>
      <w:numFmt w:val="bullet"/>
      <w:lvlText w:val="∙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2" w:tplc="61601CCA" w:tentative="1">
      <w:start w:val="1"/>
      <w:numFmt w:val="bullet"/>
      <w:lvlText w:val="∙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3" w:tplc="D744E7EE" w:tentative="1">
      <w:start w:val="1"/>
      <w:numFmt w:val="bullet"/>
      <w:lvlText w:val="∙"/>
      <w:lvlJc w:val="left"/>
      <w:pPr>
        <w:tabs>
          <w:tab w:val="num" w:pos="2520"/>
        </w:tabs>
        <w:ind w:left="2520" w:hanging="360"/>
      </w:pPr>
      <w:rPr>
        <w:rFonts w:ascii="Noto Sans Symbols" w:hAnsi="Noto Sans Symbols" w:hint="default"/>
      </w:rPr>
    </w:lvl>
    <w:lvl w:ilvl="4" w:tplc="1884E98A" w:tentative="1">
      <w:start w:val="1"/>
      <w:numFmt w:val="bullet"/>
      <w:lvlText w:val="∙"/>
      <w:lvlJc w:val="left"/>
      <w:pPr>
        <w:tabs>
          <w:tab w:val="num" w:pos="3240"/>
        </w:tabs>
        <w:ind w:left="3240" w:hanging="360"/>
      </w:pPr>
      <w:rPr>
        <w:rFonts w:ascii="Noto Sans Symbols" w:hAnsi="Noto Sans Symbols" w:hint="default"/>
      </w:rPr>
    </w:lvl>
    <w:lvl w:ilvl="5" w:tplc="1B120620" w:tentative="1">
      <w:start w:val="1"/>
      <w:numFmt w:val="bullet"/>
      <w:lvlText w:val="∙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6" w:tplc="4824205C" w:tentative="1">
      <w:start w:val="1"/>
      <w:numFmt w:val="bullet"/>
      <w:lvlText w:val="∙"/>
      <w:lvlJc w:val="left"/>
      <w:pPr>
        <w:tabs>
          <w:tab w:val="num" w:pos="4680"/>
        </w:tabs>
        <w:ind w:left="4680" w:hanging="360"/>
      </w:pPr>
      <w:rPr>
        <w:rFonts w:ascii="Noto Sans Symbols" w:hAnsi="Noto Sans Symbols" w:hint="default"/>
      </w:rPr>
    </w:lvl>
    <w:lvl w:ilvl="7" w:tplc="E50CA220" w:tentative="1">
      <w:start w:val="1"/>
      <w:numFmt w:val="bullet"/>
      <w:lvlText w:val="∙"/>
      <w:lvlJc w:val="left"/>
      <w:pPr>
        <w:tabs>
          <w:tab w:val="num" w:pos="5400"/>
        </w:tabs>
        <w:ind w:left="5400" w:hanging="360"/>
      </w:pPr>
      <w:rPr>
        <w:rFonts w:ascii="Noto Sans Symbols" w:hAnsi="Noto Sans Symbols" w:hint="default"/>
      </w:rPr>
    </w:lvl>
    <w:lvl w:ilvl="8" w:tplc="27C28AEE" w:tentative="1">
      <w:start w:val="1"/>
      <w:numFmt w:val="bullet"/>
      <w:lvlText w:val="∙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A3"/>
    <w:rsid w:val="00067B11"/>
    <w:rsid w:val="001C731C"/>
    <w:rsid w:val="00304759"/>
    <w:rsid w:val="0040635B"/>
    <w:rsid w:val="00493099"/>
    <w:rsid w:val="00570E45"/>
    <w:rsid w:val="005A7C5E"/>
    <w:rsid w:val="00650AD1"/>
    <w:rsid w:val="00904866"/>
    <w:rsid w:val="009B51A3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C948"/>
  <w15:chartTrackingRefBased/>
  <w15:docId w15:val="{7C00AE70-DB5B-4C31-860E-7A1AB72C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1A3"/>
  </w:style>
  <w:style w:type="paragraph" w:styleId="Footer">
    <w:name w:val="footer"/>
    <w:basedOn w:val="Normal"/>
    <w:link w:val="FooterChar"/>
    <w:uiPriority w:val="99"/>
    <w:unhideWhenUsed/>
    <w:rsid w:val="009B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A3"/>
  </w:style>
  <w:style w:type="paragraph" w:styleId="NormalWeb">
    <w:name w:val="Normal (Web)"/>
    <w:basedOn w:val="Normal"/>
    <w:uiPriority w:val="99"/>
    <w:semiHidden/>
    <w:unhideWhenUsed/>
    <w:rsid w:val="009B51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2022-04-01T16:50:00Z</dcterms:created>
  <dcterms:modified xsi:type="dcterms:W3CDTF">2022-04-22T16:09:00Z</dcterms:modified>
</cp:coreProperties>
</file>