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2015 USNCO National Part 2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858000" cy="11811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2013 USNCO National Part 2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858000" cy="825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858000" cy="4064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(Part d. Omitted)</w:t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Answer Key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2015 USNCO National Part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5214938" cy="282548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938" cy="2825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2013 USNCO National Part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4697425" cy="3148013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425" cy="31480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</w:rPr>
              <w:drawing>
                <wp:inline distB="114300" distT="114300" distL="114300" distR="114300">
                  <wp:extent cx="4719638" cy="443031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638" cy="4430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720" w:top="720" w:left="720" w:right="720" w:header="720" w:footer="720"/>
      <w:pgNumType w:start="1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  <w:t xml:space="preserve">Bonding FRQ Practice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DV Chem Club 19-20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