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Bonding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Here are some practice problems!</w:t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rtl w:val="0"/>
        </w:rPr>
        <w:t xml:space="preserve">-Venky &amp; Anugrah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2019 USNCO Local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8255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1866900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6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1358900"/>
            <wp:effectExtent b="0" l="0" r="0" t="0"/>
            <wp:docPr id="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5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17780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1397000"/>
            <wp:effectExtent b="0" l="0" r="0" t="0"/>
            <wp:docPr id="10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9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8382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2018 USNCO Local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184150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4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2015 USNCO Local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889000"/>
            <wp:effectExtent b="0" l="0" r="0" t="0"/>
            <wp:docPr id="1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1511300"/>
            <wp:effectExtent b="0" l="0" r="0" t="0"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51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2014 USNCO Local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2171700"/>
            <wp:effectExtent b="0" l="0" r="0" t="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1638300"/>
            <wp:effectExtent b="0" l="0" r="0" t="0"/>
            <wp:docPr id="1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622300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2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1333500"/>
            <wp:effectExtent b="0" l="0" r="0" t="0"/>
            <wp:docPr id="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2012 USNCO Local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3657600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200400" cy="1485900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2520"/>
        <w:tblGridChange w:id="0">
          <w:tblGrid>
            <w:gridCol w:w="2520"/>
            <w:gridCol w:w="2520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2019 Local: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9: A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14: D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15: A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49: C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50: A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52: A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53: C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2018 Local: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49: D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50: B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51: B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2015 Local: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49: C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51: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2014 Local: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49: C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50: D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51: B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52: C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53: D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54: A</w:t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2012 Local: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49: C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50: D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51: D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53: D</w:t>
            </w:r>
          </w:p>
          <w:p w:rsidR="00000000" w:rsidDel="00000000" w:rsidP="00000000" w:rsidRDefault="00000000" w:rsidRPr="00000000" w14:paraId="00000046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54: 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5840" w:w="12240"/>
      <w:pgMar w:bottom="720" w:top="720" w:left="720" w:right="720" w:header="720" w:footer="720"/>
      <w:pgNumType w:start="1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right"/>
      <w:rPr/>
    </w:pPr>
    <w:r w:rsidDel="00000000" w:rsidR="00000000" w:rsidRPr="00000000">
      <w:rPr>
        <w:rtl w:val="0"/>
      </w:rPr>
      <w:t xml:space="preserve">Bonding MCQ Practice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jc w:val="right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DV Chem Club 19-20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image" Target="media/image1.png"/><Relationship Id="rId22" Type="http://schemas.openxmlformats.org/officeDocument/2006/relationships/footer" Target="footer1.xml"/><Relationship Id="rId10" Type="http://schemas.openxmlformats.org/officeDocument/2006/relationships/image" Target="media/image15.png"/><Relationship Id="rId21" Type="http://schemas.openxmlformats.org/officeDocument/2006/relationships/header" Target="header1.xml"/><Relationship Id="rId13" Type="http://schemas.openxmlformats.org/officeDocument/2006/relationships/image" Target="media/image9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7.png"/><Relationship Id="rId14" Type="http://schemas.openxmlformats.org/officeDocument/2006/relationships/image" Target="media/image5.png"/><Relationship Id="rId17" Type="http://schemas.openxmlformats.org/officeDocument/2006/relationships/image" Target="media/image10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image" Target="media/image3.png"/><Relationship Id="rId18" Type="http://schemas.openxmlformats.org/officeDocument/2006/relationships/image" Target="media/image14.png"/><Relationship Id="rId7" Type="http://schemas.openxmlformats.org/officeDocument/2006/relationships/image" Target="media/image11.png"/><Relationship Id="rId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