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2000 USNCO Local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560070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13843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1999 USNCO National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10668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200400" cy="17399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22479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17907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2000 USNCO National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200400" cy="33274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200400" cy="44577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3200400" cy="21971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ANSWER KEYS:</w:t>
      </w:r>
    </w:p>
    <w:p w:rsidR="00000000" w:rsidDel="00000000" w:rsidP="00000000" w:rsidRDefault="00000000" w:rsidRPr="00000000" w14:paraId="00000017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2000 USNCO Local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23.D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24.B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25.A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26.B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27.A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28.C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1999 USNCO National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18.B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20.B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22.A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23.A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24.A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2000 USNCO National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18.D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19.C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20.B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21.A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22.A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23.C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24.A</w:t>
      </w:r>
    </w:p>
    <w:sectPr>
      <w:headerReference r:id="rId15" w:type="default"/>
      <w:footerReference r:id="rId16" w:type="default"/>
      <w:pgSz w:h="15840" w:w="12240"/>
      <w:pgMar w:bottom="1440" w:top="144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>
        <w:rtl w:val="0"/>
      </w:rPr>
      <w:t xml:space="preserve">Thermodynamics &amp; Thermochemistry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>
        <w:rFonts w:ascii="Trebuchet MS" w:cs="Trebuchet MS" w:eastAsia="Trebuchet MS" w:hAnsi="Trebuchet MS"/>
        <w:b w:val="1"/>
        <w:i w:val="1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rtl w:val="0"/>
      </w:rPr>
      <w:t xml:space="preserve">DV Chem Club 19-20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