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782D" w14:textId="77777777" w:rsidR="008C0E6E" w:rsidRDefault="008C0E6E" w:rsidP="008C0E6E">
      <w:pPr>
        <w:jc w:val="center"/>
        <w:rPr>
          <w:rFonts w:ascii="Impact" w:hAnsi="Impact"/>
        </w:rPr>
      </w:pPr>
      <w:r w:rsidRPr="002C5C7E">
        <w:rPr>
          <w:rFonts w:ascii="Impact" w:hAnsi="Impact"/>
        </w:rPr>
        <w:t>N</w:t>
      </w:r>
      <w:r>
        <w:rPr>
          <w:rFonts w:ascii="Impact" w:hAnsi="Impact"/>
        </w:rPr>
        <w:t>6</w:t>
      </w:r>
      <w:r w:rsidRPr="002C5C7E">
        <w:rPr>
          <w:rFonts w:ascii="Impact" w:hAnsi="Impact"/>
        </w:rPr>
        <w:t xml:space="preserve"> – </w:t>
      </w:r>
      <w:r>
        <w:rPr>
          <w:rFonts w:ascii="Impact" w:hAnsi="Impact"/>
        </w:rPr>
        <w:t>Entropy</w:t>
      </w:r>
    </w:p>
    <w:tbl>
      <w:tblPr>
        <w:tblStyle w:val="TableGrid"/>
        <w:tblW w:w="0" w:type="auto"/>
        <w:tblLook w:val="04A0" w:firstRow="1" w:lastRow="0" w:firstColumn="1" w:lastColumn="0" w:noHBand="0" w:noVBand="1"/>
      </w:tblPr>
      <w:tblGrid>
        <w:gridCol w:w="4225"/>
      </w:tblGrid>
      <w:tr w:rsidR="008C0E6E" w:rsidRPr="00027493" w14:paraId="679A954E" w14:textId="77777777" w:rsidTr="00EE47CA">
        <w:tc>
          <w:tcPr>
            <w:tcW w:w="4225" w:type="dxa"/>
            <w:shd w:val="clear" w:color="auto" w:fill="D9D9D9" w:themeFill="background1" w:themeFillShade="D9"/>
          </w:tcPr>
          <w:p w14:paraId="373E2EEA" w14:textId="77777777" w:rsidR="008C0E6E" w:rsidRPr="00027493" w:rsidRDefault="008C0E6E" w:rsidP="00EE47CA">
            <w:pPr>
              <w:jc w:val="center"/>
              <w:rPr>
                <w:b/>
                <w:bCs/>
                <w:sz w:val="20"/>
                <w:szCs w:val="20"/>
              </w:rPr>
            </w:pPr>
            <w:r w:rsidRPr="00027493">
              <w:rPr>
                <w:b/>
                <w:bCs/>
                <w:sz w:val="20"/>
                <w:szCs w:val="20"/>
              </w:rPr>
              <w:t>Key Concepts About Entropy</w:t>
            </w:r>
          </w:p>
        </w:tc>
      </w:tr>
      <w:tr w:rsidR="008C0E6E" w:rsidRPr="00027493" w14:paraId="3F885917" w14:textId="77777777" w:rsidTr="00EE47CA">
        <w:tc>
          <w:tcPr>
            <w:tcW w:w="4225" w:type="dxa"/>
            <w:shd w:val="clear" w:color="auto" w:fill="FFFFFF" w:themeFill="background1"/>
          </w:tcPr>
          <w:p w14:paraId="305ECA6C" w14:textId="77777777" w:rsidR="008C0E6E" w:rsidRPr="00027493" w:rsidRDefault="008C0E6E" w:rsidP="00EE47CA">
            <w:pPr>
              <w:rPr>
                <w:b/>
                <w:bCs/>
                <w:sz w:val="20"/>
                <w:szCs w:val="20"/>
              </w:rPr>
            </w:pPr>
            <w:r w:rsidRPr="00027493">
              <w:rPr>
                <w:b/>
                <w:bCs/>
                <w:sz w:val="20"/>
                <w:szCs w:val="20"/>
              </w:rPr>
              <w:t xml:space="preserve">#1 - </w:t>
            </w:r>
            <w:r w:rsidRPr="00027493">
              <w:rPr>
                <w:sz w:val="20"/>
                <w:szCs w:val="20"/>
              </w:rPr>
              <w:t>a thermodynamic function that increases as the number of energetically equivalent ways of arranging the components increases, S.</w:t>
            </w:r>
          </w:p>
        </w:tc>
      </w:tr>
      <w:tr w:rsidR="008C0E6E" w:rsidRPr="00027493" w14:paraId="4F276008" w14:textId="77777777" w:rsidTr="00EE47CA">
        <w:tc>
          <w:tcPr>
            <w:tcW w:w="4225" w:type="dxa"/>
            <w:shd w:val="clear" w:color="auto" w:fill="FFFFFF" w:themeFill="background1"/>
          </w:tcPr>
          <w:p w14:paraId="6CCEA89C" w14:textId="61421BAF" w:rsidR="008C0E6E" w:rsidRPr="00027493" w:rsidRDefault="008C0E6E" w:rsidP="00EE47CA">
            <w:pPr>
              <w:rPr>
                <w:b/>
                <w:bCs/>
                <w:sz w:val="20"/>
                <w:szCs w:val="20"/>
              </w:rPr>
            </w:pPr>
            <w:r w:rsidRPr="00027493">
              <w:rPr>
                <w:b/>
                <w:bCs/>
                <w:sz w:val="20"/>
                <w:szCs w:val="20"/>
              </w:rPr>
              <w:t xml:space="preserve">#2 – </w:t>
            </w:r>
            <w:r w:rsidRPr="00027493">
              <w:rPr>
                <w:sz w:val="20"/>
                <w:szCs w:val="20"/>
              </w:rPr>
              <w:t>Random systems have more energy dispersal and are more energetically stable, lower energy, than ordered systems</w:t>
            </w:r>
            <w:r w:rsidR="00027493" w:rsidRPr="00027493">
              <w:rPr>
                <w:sz w:val="20"/>
                <w:szCs w:val="20"/>
              </w:rPr>
              <w:t xml:space="preserve">. Therefore, entropy change is favorable when the result is more energy dispersal, when there are more microstate arrangements. When ∆S° is positive. </w:t>
            </w:r>
          </w:p>
        </w:tc>
      </w:tr>
      <w:tr w:rsidR="008C0E6E" w:rsidRPr="00027493" w14:paraId="5EE15585" w14:textId="77777777" w:rsidTr="00EE47CA">
        <w:tc>
          <w:tcPr>
            <w:tcW w:w="4225" w:type="dxa"/>
            <w:shd w:val="clear" w:color="auto" w:fill="FFFFFF" w:themeFill="background1"/>
          </w:tcPr>
          <w:p w14:paraId="349BFA62" w14:textId="77777777" w:rsidR="008C0E6E" w:rsidRPr="00027493" w:rsidRDefault="008C0E6E" w:rsidP="00EE47CA">
            <w:pPr>
              <w:rPr>
                <w:b/>
                <w:bCs/>
                <w:sz w:val="20"/>
                <w:szCs w:val="20"/>
              </w:rPr>
            </w:pPr>
            <w:r w:rsidRPr="00027493">
              <w:rPr>
                <w:b/>
                <w:bCs/>
                <w:sz w:val="20"/>
                <w:szCs w:val="20"/>
              </w:rPr>
              <w:t xml:space="preserve">#3 – </w:t>
            </w:r>
            <w:r w:rsidRPr="00027493">
              <w:rPr>
                <w:sz w:val="20"/>
                <w:szCs w:val="20"/>
              </w:rPr>
              <w:t xml:space="preserve">Increase in entropy of the universe is the driving force for spontaneous reactions. </w:t>
            </w:r>
          </w:p>
        </w:tc>
      </w:tr>
      <w:tr w:rsidR="008C0E6E" w:rsidRPr="00027493" w14:paraId="1BDC183D" w14:textId="77777777" w:rsidTr="00EE47CA">
        <w:tc>
          <w:tcPr>
            <w:tcW w:w="4225" w:type="dxa"/>
            <w:shd w:val="clear" w:color="auto" w:fill="FFFFFF" w:themeFill="background1"/>
          </w:tcPr>
          <w:p w14:paraId="059AB9F1" w14:textId="77777777" w:rsidR="008C0E6E" w:rsidRPr="00027493" w:rsidRDefault="008C0E6E" w:rsidP="00EE47CA">
            <w:pPr>
              <w:rPr>
                <w:b/>
                <w:bCs/>
                <w:sz w:val="20"/>
                <w:szCs w:val="20"/>
              </w:rPr>
            </w:pPr>
            <w:r w:rsidRPr="00027493">
              <w:rPr>
                <w:b/>
                <w:bCs/>
                <w:sz w:val="20"/>
                <w:szCs w:val="20"/>
              </w:rPr>
              <w:t xml:space="preserve">#4 – </w:t>
            </w:r>
            <w:r w:rsidRPr="00027493">
              <w:rPr>
                <w:sz w:val="20"/>
                <w:szCs w:val="20"/>
              </w:rPr>
              <w:t>Nature proceeds toward the states that have the highest probabilities of existing.</w:t>
            </w:r>
            <w:r w:rsidRPr="00027493">
              <w:rPr>
                <w:b/>
                <w:bCs/>
                <w:sz w:val="20"/>
                <w:szCs w:val="20"/>
              </w:rPr>
              <w:t xml:space="preserve"> </w:t>
            </w:r>
          </w:p>
        </w:tc>
      </w:tr>
    </w:tbl>
    <w:p w14:paraId="659A8CC9" w14:textId="77777777" w:rsidR="008C0E6E" w:rsidRDefault="008C0E6E" w:rsidP="008C0E6E">
      <w:pPr>
        <w:spacing w:after="0" w:line="240" w:lineRule="auto"/>
        <w:jc w:val="center"/>
      </w:pPr>
    </w:p>
    <w:p w14:paraId="7517F6CC" w14:textId="77777777" w:rsidR="008C0E6E" w:rsidRDefault="008C0E6E" w:rsidP="008C0E6E">
      <w:pPr>
        <w:spacing w:after="0" w:line="240" w:lineRule="auto"/>
        <w:jc w:val="center"/>
      </w:pPr>
    </w:p>
    <w:p w14:paraId="3363F303" w14:textId="77777777" w:rsidR="008C0E6E" w:rsidRDefault="008C0E6E" w:rsidP="008C0E6E">
      <w:pPr>
        <w:spacing w:after="0" w:line="240" w:lineRule="auto"/>
        <w:rPr>
          <w:b/>
          <w:bCs/>
        </w:rPr>
      </w:pPr>
      <w:r>
        <w:rPr>
          <w:b/>
          <w:bCs/>
        </w:rPr>
        <w:t>Practice Problem:</w:t>
      </w:r>
      <w:r>
        <w:rPr>
          <w:b/>
          <w:bCs/>
        </w:rPr>
        <w:br/>
      </w:r>
      <w:r w:rsidRPr="00936FE2">
        <w:t xml:space="preserve">For the Rx: </w:t>
      </w:r>
      <w:r w:rsidRPr="00936FE2">
        <w:rPr>
          <w:b/>
          <w:bCs/>
        </w:rPr>
        <w:t>2NO(g) + O</w:t>
      </w:r>
      <w:r w:rsidRPr="00936FE2">
        <w:rPr>
          <w:b/>
          <w:bCs/>
          <w:vertAlign w:val="subscript"/>
        </w:rPr>
        <w:t>2</w:t>
      </w:r>
      <w:r w:rsidRPr="00936FE2">
        <w:rPr>
          <w:b/>
          <w:bCs/>
        </w:rPr>
        <w:t xml:space="preserve">(g) </w:t>
      </w:r>
      <w:r w:rsidRPr="00936FE2">
        <w:rPr>
          <w:b/>
          <w:bCs/>
        </w:rPr>
        <w:sym w:font="Wingdings" w:char="F0E0"/>
      </w:r>
      <w:r w:rsidRPr="00936FE2">
        <w:rPr>
          <w:b/>
          <w:bCs/>
        </w:rPr>
        <w:t xml:space="preserve"> 2NO</w:t>
      </w:r>
      <w:r w:rsidRPr="00936FE2">
        <w:rPr>
          <w:b/>
          <w:bCs/>
          <w:vertAlign w:val="subscript"/>
        </w:rPr>
        <w:t>2</w:t>
      </w:r>
      <w:r w:rsidRPr="00936FE2">
        <w:rPr>
          <w:b/>
          <w:bCs/>
        </w:rPr>
        <w:t xml:space="preserve">(g) </w:t>
      </w:r>
    </w:p>
    <w:p w14:paraId="1C6E7A28" w14:textId="77777777" w:rsidR="008C0E6E" w:rsidRPr="00936FE2" w:rsidRDefault="008C0E6E" w:rsidP="008C0E6E">
      <w:pPr>
        <w:spacing w:after="0" w:line="240" w:lineRule="auto"/>
      </w:pPr>
      <w:r w:rsidRPr="00936FE2">
        <w:sym w:font="Symbol" w:char="F044"/>
      </w:r>
      <w:r w:rsidRPr="00936FE2">
        <w:t>S</w:t>
      </w:r>
      <w:r w:rsidRPr="00936FE2">
        <w:sym w:font="Symbol" w:char="F0B0"/>
      </w:r>
      <w:proofErr w:type="spellStart"/>
      <w:r w:rsidRPr="00936FE2">
        <w:rPr>
          <w:vertAlign w:val="subscript"/>
        </w:rPr>
        <w:t>rxn</w:t>
      </w:r>
      <w:proofErr w:type="spellEnd"/>
      <w:r w:rsidRPr="00936FE2">
        <w:t>= -146.5 J/mol</w:t>
      </w:r>
      <w:r w:rsidRPr="00936FE2">
        <w:sym w:font="Symbol" w:char="F0B7"/>
      </w:r>
      <w:r w:rsidRPr="00936FE2">
        <w:t>K</w:t>
      </w:r>
    </w:p>
    <w:p w14:paraId="55510F9F" w14:textId="77777777" w:rsidR="008C0E6E" w:rsidRPr="00936FE2" w:rsidRDefault="008C0E6E" w:rsidP="008C0E6E">
      <w:pPr>
        <w:spacing w:after="0" w:line="240" w:lineRule="auto"/>
      </w:pPr>
      <w:r w:rsidRPr="00936FE2">
        <w:t>Calculate the standard molar entropy of O</w:t>
      </w:r>
      <w:r w:rsidRPr="00936FE2">
        <w:rPr>
          <w:vertAlign w:val="subscript"/>
        </w:rPr>
        <w:t>2</w:t>
      </w:r>
      <w:r w:rsidRPr="00936FE2">
        <w:t xml:space="preserve">(g). </w:t>
      </w:r>
    </w:p>
    <w:p w14:paraId="21D11E5B" w14:textId="77777777" w:rsidR="008C0E6E" w:rsidRPr="00936FE2" w:rsidRDefault="008C0E6E" w:rsidP="008C0E6E">
      <w:pPr>
        <w:spacing w:after="0" w:line="240" w:lineRule="auto"/>
        <w:ind w:right="-180"/>
      </w:pPr>
      <w:r w:rsidRPr="00936FE2">
        <w:sym w:font="Symbol" w:char="F044"/>
      </w:r>
      <w:r w:rsidRPr="00936FE2">
        <w:t>S</w:t>
      </w:r>
      <w:r w:rsidRPr="00936FE2">
        <w:sym w:font="Symbol" w:char="F0B0"/>
      </w:r>
      <w:r w:rsidRPr="00936FE2">
        <w:rPr>
          <w:vertAlign w:val="subscript"/>
        </w:rPr>
        <w:t>NO(g)</w:t>
      </w:r>
      <w:r w:rsidRPr="00936FE2">
        <w:t xml:space="preserve"> = 210.8 J/mol</w:t>
      </w:r>
      <w:r w:rsidRPr="00936FE2">
        <w:sym w:font="Symbol" w:char="F0B7"/>
      </w:r>
      <w:proofErr w:type="gramStart"/>
      <w:r w:rsidRPr="00936FE2">
        <w:t>K ,</w:t>
      </w:r>
      <w:proofErr w:type="gramEnd"/>
      <w:r w:rsidRPr="00936FE2">
        <w:t xml:space="preserve"> </w:t>
      </w:r>
      <w:r w:rsidRPr="00936FE2">
        <w:sym w:font="Symbol" w:char="F044"/>
      </w:r>
      <w:r w:rsidRPr="00936FE2">
        <w:t>S</w:t>
      </w:r>
      <w:r w:rsidRPr="00936FE2">
        <w:sym w:font="Symbol" w:char="F0B0"/>
      </w:r>
      <w:r w:rsidRPr="00936FE2">
        <w:rPr>
          <w:vertAlign w:val="subscript"/>
        </w:rPr>
        <w:t>NO2(g)</w:t>
      </w:r>
      <w:r w:rsidRPr="00936FE2">
        <w:t xml:space="preserve"> = 240.1 J/mol</w:t>
      </w:r>
      <w:r w:rsidRPr="00936FE2">
        <w:sym w:font="Symbol" w:char="F0B7"/>
      </w:r>
      <w:r w:rsidRPr="00936FE2">
        <w:t>K</w:t>
      </w:r>
    </w:p>
    <w:p w14:paraId="6E86497F" w14:textId="77777777" w:rsidR="008C0E6E" w:rsidRDefault="008C0E6E" w:rsidP="008C0E6E">
      <w:pPr>
        <w:spacing w:after="0" w:line="240" w:lineRule="auto"/>
      </w:pPr>
    </w:p>
    <w:p w14:paraId="30BE6F12" w14:textId="77777777" w:rsidR="008C0E6E" w:rsidRDefault="008C0E6E" w:rsidP="008C0E6E">
      <w:pPr>
        <w:spacing w:after="0" w:line="240" w:lineRule="auto"/>
        <w:jc w:val="center"/>
      </w:pPr>
    </w:p>
    <w:tbl>
      <w:tblPr>
        <w:tblStyle w:val="TableGrid"/>
        <w:tblW w:w="0" w:type="auto"/>
        <w:tblLook w:val="04A0" w:firstRow="1" w:lastRow="0" w:firstColumn="1" w:lastColumn="0" w:noHBand="0" w:noVBand="1"/>
      </w:tblPr>
      <w:tblGrid>
        <w:gridCol w:w="3955"/>
      </w:tblGrid>
      <w:tr w:rsidR="008C0E6E" w:rsidRPr="009F644C" w14:paraId="69978539" w14:textId="77777777" w:rsidTr="00D9372A">
        <w:tc>
          <w:tcPr>
            <w:tcW w:w="3955" w:type="dxa"/>
            <w:shd w:val="clear" w:color="auto" w:fill="D9D9D9" w:themeFill="background1" w:themeFillShade="D9"/>
          </w:tcPr>
          <w:p w14:paraId="14B7C89A" w14:textId="77777777" w:rsidR="008C0E6E" w:rsidRPr="009F644C" w:rsidRDefault="008C0E6E" w:rsidP="00EE47CA">
            <w:pPr>
              <w:jc w:val="center"/>
              <w:rPr>
                <w:b/>
                <w:bCs/>
              </w:rPr>
            </w:pPr>
            <w:r>
              <w:rPr>
                <w:b/>
                <w:bCs/>
              </w:rPr>
              <w:t>Some Changes that Increase Entropy</w:t>
            </w:r>
          </w:p>
        </w:tc>
      </w:tr>
      <w:tr w:rsidR="008C0E6E" w:rsidRPr="009F644C" w14:paraId="229C22DB" w14:textId="77777777" w:rsidTr="00D9372A">
        <w:tc>
          <w:tcPr>
            <w:tcW w:w="3955" w:type="dxa"/>
            <w:shd w:val="clear" w:color="auto" w:fill="FFFFFF" w:themeFill="background1"/>
          </w:tcPr>
          <w:p w14:paraId="74DECE45" w14:textId="358F6A41" w:rsidR="008C0E6E" w:rsidRPr="009F644C" w:rsidRDefault="008C0E6E" w:rsidP="00EE47CA">
            <w:pPr>
              <w:rPr>
                <w:b/>
                <w:bCs/>
              </w:rPr>
            </w:pPr>
            <w:r w:rsidRPr="00B7402B">
              <w:rPr>
                <w:b/>
                <w:bCs/>
              </w:rPr>
              <w:t xml:space="preserve">#1 - </w:t>
            </w:r>
            <w:r w:rsidRPr="00B7402B">
              <w:t xml:space="preserve">Products are in a more dispersed </w:t>
            </w:r>
            <w:r w:rsidR="00D9372A">
              <w:br/>
              <w:t xml:space="preserve">        </w:t>
            </w:r>
            <w:r w:rsidRPr="00B7402B">
              <w:t>arrangement.</w:t>
            </w:r>
            <w:r w:rsidRPr="00B7402B">
              <w:rPr>
                <w:b/>
                <w:bCs/>
              </w:rPr>
              <w:t xml:space="preserve"> </w:t>
            </w:r>
          </w:p>
        </w:tc>
      </w:tr>
      <w:tr w:rsidR="008C0E6E" w:rsidRPr="009F644C" w14:paraId="0F1F8A40" w14:textId="77777777" w:rsidTr="00D9372A">
        <w:tc>
          <w:tcPr>
            <w:tcW w:w="3955" w:type="dxa"/>
            <w:shd w:val="clear" w:color="auto" w:fill="FFFFFF" w:themeFill="background1"/>
          </w:tcPr>
          <w:p w14:paraId="5AF1F3B7" w14:textId="09E8AF64" w:rsidR="008C0E6E" w:rsidRDefault="008C0E6E" w:rsidP="00EE47CA">
            <w:pPr>
              <w:rPr>
                <w:b/>
                <w:bCs/>
              </w:rPr>
            </w:pPr>
            <w:r w:rsidRPr="00B7402B">
              <w:rPr>
                <w:b/>
                <w:bCs/>
              </w:rPr>
              <w:t xml:space="preserve">#2 - </w:t>
            </w:r>
            <w:r w:rsidRPr="00B7402B">
              <w:t xml:space="preserve">Larger numbers of product </w:t>
            </w:r>
            <w:r w:rsidR="00D9372A">
              <w:br/>
              <w:t xml:space="preserve">        </w:t>
            </w:r>
            <w:r w:rsidRPr="00B7402B">
              <w:t>molecules than reactant molecules</w:t>
            </w:r>
            <w:r>
              <w:t>.</w:t>
            </w:r>
          </w:p>
        </w:tc>
      </w:tr>
      <w:tr w:rsidR="008C0E6E" w:rsidRPr="009F644C" w14:paraId="61D716BD" w14:textId="77777777" w:rsidTr="00D9372A">
        <w:tc>
          <w:tcPr>
            <w:tcW w:w="3955" w:type="dxa"/>
            <w:shd w:val="clear" w:color="auto" w:fill="FFFFFF" w:themeFill="background1"/>
          </w:tcPr>
          <w:p w14:paraId="480779C3" w14:textId="328573EB" w:rsidR="008C0E6E" w:rsidRPr="001417FC" w:rsidRDefault="008C0E6E" w:rsidP="00EE47CA">
            <w:pPr>
              <w:rPr>
                <w:b/>
                <w:bCs/>
              </w:rPr>
            </w:pPr>
            <w:r w:rsidRPr="00B7402B">
              <w:rPr>
                <w:b/>
                <w:bCs/>
              </w:rPr>
              <w:t xml:space="preserve">#3 - </w:t>
            </w:r>
            <w:proofErr w:type="spellStart"/>
            <w:r w:rsidRPr="00B7402B">
              <w:t>Rxn’s</w:t>
            </w:r>
            <w:proofErr w:type="spellEnd"/>
            <w:r w:rsidRPr="00B7402B">
              <w:t xml:space="preserve"> that have an increase in </w:t>
            </w:r>
            <w:r w:rsidR="00D9372A">
              <w:br/>
              <w:t xml:space="preserve">        </w:t>
            </w:r>
            <w:r w:rsidRPr="00B7402B">
              <w:t>temperature (exothermic)</w:t>
            </w:r>
            <w:r>
              <w:t>.</w:t>
            </w:r>
          </w:p>
        </w:tc>
      </w:tr>
      <w:tr w:rsidR="008C0E6E" w:rsidRPr="009F644C" w14:paraId="1E702E84" w14:textId="77777777" w:rsidTr="00D9372A">
        <w:tc>
          <w:tcPr>
            <w:tcW w:w="3955" w:type="dxa"/>
            <w:shd w:val="clear" w:color="auto" w:fill="FFFFFF" w:themeFill="background1"/>
          </w:tcPr>
          <w:p w14:paraId="139035E4" w14:textId="429FB82D" w:rsidR="008C0E6E" w:rsidRPr="001417FC" w:rsidRDefault="008C0E6E" w:rsidP="00EE47CA">
            <w:pPr>
              <w:rPr>
                <w:b/>
                <w:bCs/>
              </w:rPr>
            </w:pPr>
            <w:r w:rsidRPr="00B7402B">
              <w:rPr>
                <w:b/>
                <w:bCs/>
              </w:rPr>
              <w:t xml:space="preserve">#4 – </w:t>
            </w:r>
            <w:r w:rsidRPr="00B7402B">
              <w:t xml:space="preserve">Products that have more </w:t>
            </w:r>
            <w:r w:rsidR="00D9372A">
              <w:br/>
              <w:t xml:space="preserve">        </w:t>
            </w:r>
            <w:r w:rsidRPr="00B7402B">
              <w:t>degrees of movement</w:t>
            </w:r>
            <w:r>
              <w:t>.</w:t>
            </w:r>
          </w:p>
        </w:tc>
      </w:tr>
      <w:tr w:rsidR="008C0E6E" w:rsidRPr="009F644C" w14:paraId="5601AEEB" w14:textId="77777777" w:rsidTr="00D9372A">
        <w:tc>
          <w:tcPr>
            <w:tcW w:w="3955" w:type="dxa"/>
            <w:shd w:val="clear" w:color="auto" w:fill="FFFFFF" w:themeFill="background1"/>
          </w:tcPr>
          <w:p w14:paraId="50B54AC1" w14:textId="63B7130F" w:rsidR="008C0E6E" w:rsidRPr="00B7402B" w:rsidRDefault="008C0E6E" w:rsidP="00EE47CA">
            <w:pPr>
              <w:rPr>
                <w:b/>
                <w:bCs/>
              </w:rPr>
            </w:pPr>
            <w:r>
              <w:rPr>
                <w:b/>
                <w:bCs/>
              </w:rPr>
              <w:t xml:space="preserve">#5 – </w:t>
            </w:r>
            <w:r w:rsidRPr="00B7402B">
              <w:t xml:space="preserve">Products that have more </w:t>
            </w:r>
            <w:r w:rsidR="00D9372A">
              <w:br/>
              <w:t xml:space="preserve">        </w:t>
            </w:r>
            <w:r w:rsidRPr="00B7402B">
              <w:t>molecular complexity</w:t>
            </w:r>
            <w:r>
              <w:t>.</w:t>
            </w:r>
          </w:p>
        </w:tc>
      </w:tr>
    </w:tbl>
    <w:p w14:paraId="19A0614A" w14:textId="77777777" w:rsidR="008C0E6E" w:rsidRDefault="008C0E6E" w:rsidP="008C0E6E">
      <w:pPr>
        <w:spacing w:after="0" w:line="240" w:lineRule="auto"/>
        <w:jc w:val="center"/>
      </w:pPr>
      <w:r>
        <w:t xml:space="preserve"> </w:t>
      </w:r>
    </w:p>
    <w:p w14:paraId="38C10749" w14:textId="77777777" w:rsidR="008C0E6E" w:rsidRDefault="008C0E6E" w:rsidP="008C0E6E">
      <w:pPr>
        <w:spacing w:after="0" w:line="240" w:lineRule="auto"/>
        <w:jc w:val="center"/>
      </w:pPr>
    </w:p>
    <w:p w14:paraId="60414639" w14:textId="77777777" w:rsidR="008C0E6E" w:rsidRDefault="008C0E6E" w:rsidP="008C0E6E">
      <w:pPr>
        <w:spacing w:after="0" w:line="240" w:lineRule="auto"/>
        <w:jc w:val="center"/>
      </w:pPr>
    </w:p>
    <w:p w14:paraId="14005B35" w14:textId="18451F7D" w:rsidR="00837223" w:rsidRDefault="00000000"/>
    <w:p w14:paraId="71C12260" w14:textId="77777777" w:rsidR="00D9372A" w:rsidRDefault="00D9372A" w:rsidP="00D9372A">
      <w:pPr>
        <w:jc w:val="center"/>
        <w:rPr>
          <w:rFonts w:ascii="Impact" w:hAnsi="Impact"/>
        </w:rPr>
      </w:pPr>
      <w:r w:rsidRPr="002C5C7E">
        <w:rPr>
          <w:rFonts w:ascii="Impact" w:hAnsi="Impact"/>
        </w:rPr>
        <w:t>N</w:t>
      </w:r>
      <w:r>
        <w:rPr>
          <w:rFonts w:ascii="Impact" w:hAnsi="Impact"/>
        </w:rPr>
        <w:t>6</w:t>
      </w:r>
      <w:r w:rsidRPr="002C5C7E">
        <w:rPr>
          <w:rFonts w:ascii="Impact" w:hAnsi="Impact"/>
        </w:rPr>
        <w:t xml:space="preserve"> – </w:t>
      </w:r>
      <w:r>
        <w:rPr>
          <w:rFonts w:ascii="Impact" w:hAnsi="Impact"/>
        </w:rPr>
        <w:t>Entropy</w:t>
      </w:r>
    </w:p>
    <w:tbl>
      <w:tblPr>
        <w:tblStyle w:val="TableGrid"/>
        <w:tblW w:w="0" w:type="auto"/>
        <w:tblLook w:val="04A0" w:firstRow="1" w:lastRow="0" w:firstColumn="1" w:lastColumn="0" w:noHBand="0" w:noVBand="1"/>
      </w:tblPr>
      <w:tblGrid>
        <w:gridCol w:w="4225"/>
      </w:tblGrid>
      <w:tr w:rsidR="00D9372A" w:rsidRPr="00027493" w14:paraId="47DD2C52" w14:textId="77777777" w:rsidTr="00577A0D">
        <w:tc>
          <w:tcPr>
            <w:tcW w:w="4225" w:type="dxa"/>
            <w:shd w:val="clear" w:color="auto" w:fill="D9D9D9" w:themeFill="background1" w:themeFillShade="D9"/>
          </w:tcPr>
          <w:p w14:paraId="1950B284" w14:textId="77777777" w:rsidR="00D9372A" w:rsidRPr="00027493" w:rsidRDefault="00D9372A" w:rsidP="00577A0D">
            <w:pPr>
              <w:jc w:val="center"/>
              <w:rPr>
                <w:b/>
                <w:bCs/>
                <w:sz w:val="20"/>
                <w:szCs w:val="20"/>
              </w:rPr>
            </w:pPr>
            <w:r w:rsidRPr="00027493">
              <w:rPr>
                <w:b/>
                <w:bCs/>
                <w:sz w:val="20"/>
                <w:szCs w:val="20"/>
              </w:rPr>
              <w:t>Key Concepts About Entropy</w:t>
            </w:r>
          </w:p>
        </w:tc>
      </w:tr>
      <w:tr w:rsidR="00D9372A" w:rsidRPr="00027493" w14:paraId="3B79342F" w14:textId="77777777" w:rsidTr="00577A0D">
        <w:tc>
          <w:tcPr>
            <w:tcW w:w="4225" w:type="dxa"/>
            <w:shd w:val="clear" w:color="auto" w:fill="FFFFFF" w:themeFill="background1"/>
          </w:tcPr>
          <w:p w14:paraId="0AFA32BD" w14:textId="77777777" w:rsidR="00D9372A" w:rsidRPr="00027493" w:rsidRDefault="00D9372A" w:rsidP="00577A0D">
            <w:pPr>
              <w:rPr>
                <w:b/>
                <w:bCs/>
                <w:sz w:val="20"/>
                <w:szCs w:val="20"/>
              </w:rPr>
            </w:pPr>
            <w:r w:rsidRPr="00027493">
              <w:rPr>
                <w:b/>
                <w:bCs/>
                <w:sz w:val="20"/>
                <w:szCs w:val="20"/>
              </w:rPr>
              <w:t xml:space="preserve">#1 - </w:t>
            </w:r>
            <w:r w:rsidRPr="00027493">
              <w:rPr>
                <w:sz w:val="20"/>
                <w:szCs w:val="20"/>
              </w:rPr>
              <w:t>a thermodynamic function that increases as the number of energetically equivalent ways of arranging the components increases, S.</w:t>
            </w:r>
          </w:p>
        </w:tc>
      </w:tr>
      <w:tr w:rsidR="00D9372A" w:rsidRPr="00027493" w14:paraId="5C7C8573" w14:textId="77777777" w:rsidTr="00577A0D">
        <w:tc>
          <w:tcPr>
            <w:tcW w:w="4225" w:type="dxa"/>
            <w:shd w:val="clear" w:color="auto" w:fill="FFFFFF" w:themeFill="background1"/>
          </w:tcPr>
          <w:p w14:paraId="33D3B967" w14:textId="77777777" w:rsidR="00D9372A" w:rsidRPr="00027493" w:rsidRDefault="00D9372A" w:rsidP="00577A0D">
            <w:pPr>
              <w:rPr>
                <w:b/>
                <w:bCs/>
                <w:sz w:val="20"/>
                <w:szCs w:val="20"/>
              </w:rPr>
            </w:pPr>
            <w:r w:rsidRPr="00027493">
              <w:rPr>
                <w:b/>
                <w:bCs/>
                <w:sz w:val="20"/>
                <w:szCs w:val="20"/>
              </w:rPr>
              <w:t xml:space="preserve">#2 – </w:t>
            </w:r>
            <w:r w:rsidRPr="00027493">
              <w:rPr>
                <w:sz w:val="20"/>
                <w:szCs w:val="20"/>
              </w:rPr>
              <w:t xml:space="preserve">Random systems have more energy dispersal and are more energetically stable, lower energy, than ordered systems. Therefore, entropy change is favorable when the result is more energy dispersal, when there are more microstate arrangements. When ∆S° is positive. </w:t>
            </w:r>
          </w:p>
        </w:tc>
      </w:tr>
      <w:tr w:rsidR="00D9372A" w:rsidRPr="00027493" w14:paraId="34701E33" w14:textId="77777777" w:rsidTr="00577A0D">
        <w:tc>
          <w:tcPr>
            <w:tcW w:w="4225" w:type="dxa"/>
            <w:shd w:val="clear" w:color="auto" w:fill="FFFFFF" w:themeFill="background1"/>
          </w:tcPr>
          <w:p w14:paraId="30186F3C" w14:textId="77777777" w:rsidR="00D9372A" w:rsidRPr="00027493" w:rsidRDefault="00D9372A" w:rsidP="00577A0D">
            <w:pPr>
              <w:rPr>
                <w:b/>
                <w:bCs/>
                <w:sz w:val="20"/>
                <w:szCs w:val="20"/>
              </w:rPr>
            </w:pPr>
            <w:r w:rsidRPr="00027493">
              <w:rPr>
                <w:b/>
                <w:bCs/>
                <w:sz w:val="20"/>
                <w:szCs w:val="20"/>
              </w:rPr>
              <w:t xml:space="preserve">#3 – </w:t>
            </w:r>
            <w:r w:rsidRPr="00027493">
              <w:rPr>
                <w:sz w:val="20"/>
                <w:szCs w:val="20"/>
              </w:rPr>
              <w:t xml:space="preserve">Increase in entropy of the universe is the driving force for spontaneous reactions. </w:t>
            </w:r>
          </w:p>
        </w:tc>
      </w:tr>
      <w:tr w:rsidR="00D9372A" w:rsidRPr="00027493" w14:paraId="4E54B401" w14:textId="77777777" w:rsidTr="00577A0D">
        <w:tc>
          <w:tcPr>
            <w:tcW w:w="4225" w:type="dxa"/>
            <w:shd w:val="clear" w:color="auto" w:fill="FFFFFF" w:themeFill="background1"/>
          </w:tcPr>
          <w:p w14:paraId="4C43565B" w14:textId="77777777" w:rsidR="00D9372A" w:rsidRPr="00027493" w:rsidRDefault="00D9372A" w:rsidP="00577A0D">
            <w:pPr>
              <w:rPr>
                <w:b/>
                <w:bCs/>
                <w:sz w:val="20"/>
                <w:szCs w:val="20"/>
              </w:rPr>
            </w:pPr>
            <w:r w:rsidRPr="00027493">
              <w:rPr>
                <w:b/>
                <w:bCs/>
                <w:sz w:val="20"/>
                <w:szCs w:val="20"/>
              </w:rPr>
              <w:t xml:space="preserve">#4 – </w:t>
            </w:r>
            <w:r w:rsidRPr="00027493">
              <w:rPr>
                <w:sz w:val="20"/>
                <w:szCs w:val="20"/>
              </w:rPr>
              <w:t>Nature proceeds toward the states that have the highest probabilities of existing.</w:t>
            </w:r>
            <w:r w:rsidRPr="00027493">
              <w:rPr>
                <w:b/>
                <w:bCs/>
                <w:sz w:val="20"/>
                <w:szCs w:val="20"/>
              </w:rPr>
              <w:t xml:space="preserve"> </w:t>
            </w:r>
          </w:p>
        </w:tc>
      </w:tr>
    </w:tbl>
    <w:p w14:paraId="228A6720" w14:textId="77777777" w:rsidR="00D9372A" w:rsidRDefault="00D9372A" w:rsidP="00D9372A">
      <w:pPr>
        <w:spacing w:after="0" w:line="240" w:lineRule="auto"/>
        <w:jc w:val="center"/>
      </w:pPr>
    </w:p>
    <w:p w14:paraId="32A30B85" w14:textId="77777777" w:rsidR="00D9372A" w:rsidRDefault="00D9372A" w:rsidP="00D9372A">
      <w:pPr>
        <w:spacing w:after="0" w:line="240" w:lineRule="auto"/>
        <w:jc w:val="center"/>
      </w:pPr>
    </w:p>
    <w:p w14:paraId="33FDBF70" w14:textId="77777777" w:rsidR="00D9372A" w:rsidRDefault="00D9372A" w:rsidP="00D9372A">
      <w:pPr>
        <w:spacing w:after="0" w:line="240" w:lineRule="auto"/>
        <w:rPr>
          <w:b/>
          <w:bCs/>
        </w:rPr>
      </w:pPr>
      <w:r>
        <w:rPr>
          <w:b/>
          <w:bCs/>
        </w:rPr>
        <w:t>Practice Problem:</w:t>
      </w:r>
      <w:r>
        <w:rPr>
          <w:b/>
          <w:bCs/>
        </w:rPr>
        <w:br/>
      </w:r>
      <w:r w:rsidRPr="00936FE2">
        <w:t xml:space="preserve">For the Rx: </w:t>
      </w:r>
      <w:r w:rsidRPr="00936FE2">
        <w:rPr>
          <w:b/>
          <w:bCs/>
        </w:rPr>
        <w:t>2NO(g) + O</w:t>
      </w:r>
      <w:r w:rsidRPr="00936FE2">
        <w:rPr>
          <w:b/>
          <w:bCs/>
          <w:vertAlign w:val="subscript"/>
        </w:rPr>
        <w:t>2</w:t>
      </w:r>
      <w:r w:rsidRPr="00936FE2">
        <w:rPr>
          <w:b/>
          <w:bCs/>
        </w:rPr>
        <w:t xml:space="preserve">(g) </w:t>
      </w:r>
      <w:r w:rsidRPr="00936FE2">
        <w:rPr>
          <w:b/>
          <w:bCs/>
        </w:rPr>
        <w:sym w:font="Wingdings" w:char="F0E0"/>
      </w:r>
      <w:r w:rsidRPr="00936FE2">
        <w:rPr>
          <w:b/>
          <w:bCs/>
        </w:rPr>
        <w:t xml:space="preserve"> 2NO</w:t>
      </w:r>
      <w:r w:rsidRPr="00936FE2">
        <w:rPr>
          <w:b/>
          <w:bCs/>
          <w:vertAlign w:val="subscript"/>
        </w:rPr>
        <w:t>2</w:t>
      </w:r>
      <w:r w:rsidRPr="00936FE2">
        <w:rPr>
          <w:b/>
          <w:bCs/>
        </w:rPr>
        <w:t xml:space="preserve">(g) </w:t>
      </w:r>
    </w:p>
    <w:p w14:paraId="28A60887" w14:textId="77777777" w:rsidR="00D9372A" w:rsidRPr="00936FE2" w:rsidRDefault="00D9372A" w:rsidP="00D9372A">
      <w:pPr>
        <w:spacing w:after="0" w:line="240" w:lineRule="auto"/>
      </w:pPr>
      <w:r w:rsidRPr="00936FE2">
        <w:sym w:font="Symbol" w:char="F044"/>
      </w:r>
      <w:r w:rsidRPr="00936FE2">
        <w:t>S</w:t>
      </w:r>
      <w:r w:rsidRPr="00936FE2">
        <w:sym w:font="Symbol" w:char="F0B0"/>
      </w:r>
      <w:proofErr w:type="spellStart"/>
      <w:r w:rsidRPr="00936FE2">
        <w:rPr>
          <w:vertAlign w:val="subscript"/>
        </w:rPr>
        <w:t>rxn</w:t>
      </w:r>
      <w:proofErr w:type="spellEnd"/>
      <w:r w:rsidRPr="00936FE2">
        <w:t>= -146.5 J/mol</w:t>
      </w:r>
      <w:r w:rsidRPr="00936FE2">
        <w:sym w:font="Symbol" w:char="F0B7"/>
      </w:r>
      <w:r w:rsidRPr="00936FE2">
        <w:t>K</w:t>
      </w:r>
    </w:p>
    <w:p w14:paraId="04A1D88C" w14:textId="77777777" w:rsidR="00D9372A" w:rsidRPr="00936FE2" w:rsidRDefault="00D9372A" w:rsidP="00D9372A">
      <w:pPr>
        <w:spacing w:after="0" w:line="240" w:lineRule="auto"/>
      </w:pPr>
      <w:r w:rsidRPr="00936FE2">
        <w:t>Calculate the standard molar entropy of O</w:t>
      </w:r>
      <w:r w:rsidRPr="00936FE2">
        <w:rPr>
          <w:vertAlign w:val="subscript"/>
        </w:rPr>
        <w:t>2</w:t>
      </w:r>
      <w:r w:rsidRPr="00936FE2">
        <w:t xml:space="preserve">(g). </w:t>
      </w:r>
    </w:p>
    <w:p w14:paraId="4FFD1A7F" w14:textId="77777777" w:rsidR="00D9372A" w:rsidRPr="00936FE2" w:rsidRDefault="00D9372A" w:rsidP="00D9372A">
      <w:pPr>
        <w:spacing w:after="0" w:line="240" w:lineRule="auto"/>
        <w:ind w:right="-180"/>
      </w:pPr>
      <w:r w:rsidRPr="00936FE2">
        <w:sym w:font="Symbol" w:char="F044"/>
      </w:r>
      <w:r w:rsidRPr="00936FE2">
        <w:t>S</w:t>
      </w:r>
      <w:r w:rsidRPr="00936FE2">
        <w:sym w:font="Symbol" w:char="F0B0"/>
      </w:r>
      <w:r w:rsidRPr="00936FE2">
        <w:rPr>
          <w:vertAlign w:val="subscript"/>
        </w:rPr>
        <w:t>NO(g)</w:t>
      </w:r>
      <w:r w:rsidRPr="00936FE2">
        <w:t xml:space="preserve"> = 210.8 J/mol</w:t>
      </w:r>
      <w:r w:rsidRPr="00936FE2">
        <w:sym w:font="Symbol" w:char="F0B7"/>
      </w:r>
      <w:proofErr w:type="gramStart"/>
      <w:r w:rsidRPr="00936FE2">
        <w:t>K ,</w:t>
      </w:r>
      <w:proofErr w:type="gramEnd"/>
      <w:r w:rsidRPr="00936FE2">
        <w:t xml:space="preserve"> </w:t>
      </w:r>
      <w:r w:rsidRPr="00936FE2">
        <w:sym w:font="Symbol" w:char="F044"/>
      </w:r>
      <w:r w:rsidRPr="00936FE2">
        <w:t>S</w:t>
      </w:r>
      <w:r w:rsidRPr="00936FE2">
        <w:sym w:font="Symbol" w:char="F0B0"/>
      </w:r>
      <w:r w:rsidRPr="00936FE2">
        <w:rPr>
          <w:vertAlign w:val="subscript"/>
        </w:rPr>
        <w:t>NO2(g)</w:t>
      </w:r>
      <w:r w:rsidRPr="00936FE2">
        <w:t xml:space="preserve"> = 240.1 J/mol</w:t>
      </w:r>
      <w:r w:rsidRPr="00936FE2">
        <w:sym w:font="Symbol" w:char="F0B7"/>
      </w:r>
      <w:r w:rsidRPr="00936FE2">
        <w:t>K</w:t>
      </w:r>
    </w:p>
    <w:p w14:paraId="3BEE5759" w14:textId="77777777" w:rsidR="00D9372A" w:rsidRDefault="00D9372A" w:rsidP="00D9372A">
      <w:pPr>
        <w:spacing w:after="0" w:line="240" w:lineRule="auto"/>
      </w:pPr>
    </w:p>
    <w:p w14:paraId="4199C9AC" w14:textId="77777777" w:rsidR="00D9372A" w:rsidRDefault="00D9372A" w:rsidP="00D9372A">
      <w:pPr>
        <w:spacing w:after="0" w:line="240" w:lineRule="auto"/>
        <w:jc w:val="center"/>
      </w:pPr>
    </w:p>
    <w:tbl>
      <w:tblPr>
        <w:tblStyle w:val="TableGrid"/>
        <w:tblW w:w="0" w:type="auto"/>
        <w:tblLook w:val="04A0" w:firstRow="1" w:lastRow="0" w:firstColumn="1" w:lastColumn="0" w:noHBand="0" w:noVBand="1"/>
      </w:tblPr>
      <w:tblGrid>
        <w:gridCol w:w="3955"/>
      </w:tblGrid>
      <w:tr w:rsidR="00D9372A" w:rsidRPr="009F644C" w14:paraId="36E8489C" w14:textId="77777777" w:rsidTr="00577A0D">
        <w:tc>
          <w:tcPr>
            <w:tcW w:w="3955" w:type="dxa"/>
            <w:shd w:val="clear" w:color="auto" w:fill="D9D9D9" w:themeFill="background1" w:themeFillShade="D9"/>
          </w:tcPr>
          <w:p w14:paraId="43DAAB3E" w14:textId="77777777" w:rsidR="00D9372A" w:rsidRPr="009F644C" w:rsidRDefault="00D9372A" w:rsidP="00577A0D">
            <w:pPr>
              <w:jc w:val="center"/>
              <w:rPr>
                <w:b/>
                <w:bCs/>
              </w:rPr>
            </w:pPr>
            <w:r>
              <w:rPr>
                <w:b/>
                <w:bCs/>
              </w:rPr>
              <w:t>Some Changes that Increase Entropy</w:t>
            </w:r>
          </w:p>
        </w:tc>
      </w:tr>
      <w:tr w:rsidR="00D9372A" w:rsidRPr="009F644C" w14:paraId="26910E3E" w14:textId="77777777" w:rsidTr="00577A0D">
        <w:tc>
          <w:tcPr>
            <w:tcW w:w="3955" w:type="dxa"/>
            <w:shd w:val="clear" w:color="auto" w:fill="FFFFFF" w:themeFill="background1"/>
          </w:tcPr>
          <w:p w14:paraId="08364F68" w14:textId="77777777" w:rsidR="00D9372A" w:rsidRPr="009F644C" w:rsidRDefault="00D9372A" w:rsidP="00577A0D">
            <w:pPr>
              <w:rPr>
                <w:b/>
                <w:bCs/>
              </w:rPr>
            </w:pPr>
            <w:r w:rsidRPr="00B7402B">
              <w:rPr>
                <w:b/>
                <w:bCs/>
              </w:rPr>
              <w:t xml:space="preserve">#1 - </w:t>
            </w:r>
            <w:r w:rsidRPr="00B7402B">
              <w:t xml:space="preserve">Products are in a more dispersed </w:t>
            </w:r>
            <w:r>
              <w:br/>
              <w:t xml:space="preserve">        </w:t>
            </w:r>
            <w:r w:rsidRPr="00B7402B">
              <w:t>arrangement.</w:t>
            </w:r>
            <w:r w:rsidRPr="00B7402B">
              <w:rPr>
                <w:b/>
                <w:bCs/>
              </w:rPr>
              <w:t xml:space="preserve"> </w:t>
            </w:r>
          </w:p>
        </w:tc>
      </w:tr>
      <w:tr w:rsidR="00D9372A" w:rsidRPr="009F644C" w14:paraId="09289C75" w14:textId="77777777" w:rsidTr="00577A0D">
        <w:tc>
          <w:tcPr>
            <w:tcW w:w="3955" w:type="dxa"/>
            <w:shd w:val="clear" w:color="auto" w:fill="FFFFFF" w:themeFill="background1"/>
          </w:tcPr>
          <w:p w14:paraId="25DC229D" w14:textId="77777777" w:rsidR="00D9372A" w:rsidRDefault="00D9372A" w:rsidP="00577A0D">
            <w:pPr>
              <w:rPr>
                <w:b/>
                <w:bCs/>
              </w:rPr>
            </w:pPr>
            <w:r w:rsidRPr="00B7402B">
              <w:rPr>
                <w:b/>
                <w:bCs/>
              </w:rPr>
              <w:t xml:space="preserve">#2 - </w:t>
            </w:r>
            <w:r w:rsidRPr="00B7402B">
              <w:t xml:space="preserve">Larger numbers of product </w:t>
            </w:r>
            <w:r>
              <w:br/>
              <w:t xml:space="preserve">        </w:t>
            </w:r>
            <w:r w:rsidRPr="00B7402B">
              <w:t>molecules than reactant molecules</w:t>
            </w:r>
            <w:r>
              <w:t>.</w:t>
            </w:r>
          </w:p>
        </w:tc>
      </w:tr>
      <w:tr w:rsidR="00D9372A" w:rsidRPr="009F644C" w14:paraId="023AB725" w14:textId="77777777" w:rsidTr="00577A0D">
        <w:tc>
          <w:tcPr>
            <w:tcW w:w="3955" w:type="dxa"/>
            <w:shd w:val="clear" w:color="auto" w:fill="FFFFFF" w:themeFill="background1"/>
          </w:tcPr>
          <w:p w14:paraId="7606E98D" w14:textId="77777777" w:rsidR="00D9372A" w:rsidRPr="001417FC" w:rsidRDefault="00D9372A" w:rsidP="00577A0D">
            <w:pPr>
              <w:rPr>
                <w:b/>
                <w:bCs/>
              </w:rPr>
            </w:pPr>
            <w:r w:rsidRPr="00B7402B">
              <w:rPr>
                <w:b/>
                <w:bCs/>
              </w:rPr>
              <w:t xml:space="preserve">#3 - </w:t>
            </w:r>
            <w:proofErr w:type="spellStart"/>
            <w:r w:rsidRPr="00B7402B">
              <w:t>Rxn’s</w:t>
            </w:r>
            <w:proofErr w:type="spellEnd"/>
            <w:r w:rsidRPr="00B7402B">
              <w:t xml:space="preserve"> that have an increase in </w:t>
            </w:r>
            <w:r>
              <w:br/>
              <w:t xml:space="preserve">        </w:t>
            </w:r>
            <w:r w:rsidRPr="00B7402B">
              <w:t>temperature (exothermic)</w:t>
            </w:r>
            <w:r>
              <w:t>.</w:t>
            </w:r>
          </w:p>
        </w:tc>
      </w:tr>
      <w:tr w:rsidR="00D9372A" w:rsidRPr="009F644C" w14:paraId="46B24FA2" w14:textId="77777777" w:rsidTr="00577A0D">
        <w:tc>
          <w:tcPr>
            <w:tcW w:w="3955" w:type="dxa"/>
            <w:shd w:val="clear" w:color="auto" w:fill="FFFFFF" w:themeFill="background1"/>
          </w:tcPr>
          <w:p w14:paraId="2190AFBB" w14:textId="77777777" w:rsidR="00D9372A" w:rsidRPr="001417FC" w:rsidRDefault="00D9372A" w:rsidP="00577A0D">
            <w:pPr>
              <w:rPr>
                <w:b/>
                <w:bCs/>
              </w:rPr>
            </w:pPr>
            <w:r w:rsidRPr="00B7402B">
              <w:rPr>
                <w:b/>
                <w:bCs/>
              </w:rPr>
              <w:t xml:space="preserve">#4 – </w:t>
            </w:r>
            <w:r w:rsidRPr="00B7402B">
              <w:t xml:space="preserve">Products that have more </w:t>
            </w:r>
            <w:r>
              <w:br/>
              <w:t xml:space="preserve">        </w:t>
            </w:r>
            <w:r w:rsidRPr="00B7402B">
              <w:t>degrees of movement</w:t>
            </w:r>
            <w:r>
              <w:t>.</w:t>
            </w:r>
          </w:p>
        </w:tc>
      </w:tr>
      <w:tr w:rsidR="00D9372A" w:rsidRPr="009F644C" w14:paraId="12D951EA" w14:textId="77777777" w:rsidTr="00577A0D">
        <w:tc>
          <w:tcPr>
            <w:tcW w:w="3955" w:type="dxa"/>
            <w:shd w:val="clear" w:color="auto" w:fill="FFFFFF" w:themeFill="background1"/>
          </w:tcPr>
          <w:p w14:paraId="41A5DB42" w14:textId="77777777" w:rsidR="00D9372A" w:rsidRPr="00B7402B" w:rsidRDefault="00D9372A" w:rsidP="00577A0D">
            <w:pPr>
              <w:rPr>
                <w:b/>
                <w:bCs/>
              </w:rPr>
            </w:pPr>
            <w:r>
              <w:rPr>
                <w:b/>
                <w:bCs/>
              </w:rPr>
              <w:t xml:space="preserve">#5 – </w:t>
            </w:r>
            <w:r w:rsidRPr="00B7402B">
              <w:t xml:space="preserve">Products that have more </w:t>
            </w:r>
            <w:r>
              <w:br/>
              <w:t xml:space="preserve">        </w:t>
            </w:r>
            <w:r w:rsidRPr="00B7402B">
              <w:t>molecular complexity</w:t>
            </w:r>
            <w:r>
              <w:t>.</w:t>
            </w:r>
          </w:p>
        </w:tc>
      </w:tr>
    </w:tbl>
    <w:p w14:paraId="362836CE" w14:textId="77777777" w:rsidR="00D9372A" w:rsidRDefault="00D9372A" w:rsidP="00D9372A">
      <w:pPr>
        <w:spacing w:after="0" w:line="240" w:lineRule="auto"/>
        <w:jc w:val="center"/>
      </w:pPr>
      <w:r>
        <w:t xml:space="preserve"> </w:t>
      </w:r>
    </w:p>
    <w:p w14:paraId="3FCB4A89" w14:textId="77777777" w:rsidR="00D9372A" w:rsidRDefault="00D9372A" w:rsidP="00D9372A">
      <w:pPr>
        <w:spacing w:after="0" w:line="240" w:lineRule="auto"/>
        <w:jc w:val="center"/>
      </w:pPr>
    </w:p>
    <w:p w14:paraId="74F75178" w14:textId="77777777" w:rsidR="00D9372A" w:rsidRDefault="00D9372A" w:rsidP="00D9372A">
      <w:pPr>
        <w:spacing w:after="0" w:line="240" w:lineRule="auto"/>
        <w:jc w:val="center"/>
      </w:pPr>
    </w:p>
    <w:p w14:paraId="4EFD516B" w14:textId="77777777" w:rsidR="00D9372A" w:rsidRDefault="00D9372A" w:rsidP="00D9372A"/>
    <w:p w14:paraId="2126C653" w14:textId="77777777" w:rsidR="00D9372A" w:rsidRDefault="00D9372A" w:rsidP="00D9372A">
      <w:pPr>
        <w:jc w:val="center"/>
        <w:rPr>
          <w:rFonts w:ascii="Impact" w:hAnsi="Impact"/>
        </w:rPr>
      </w:pPr>
      <w:r w:rsidRPr="002C5C7E">
        <w:rPr>
          <w:rFonts w:ascii="Impact" w:hAnsi="Impact"/>
        </w:rPr>
        <w:t>N</w:t>
      </w:r>
      <w:r>
        <w:rPr>
          <w:rFonts w:ascii="Impact" w:hAnsi="Impact"/>
        </w:rPr>
        <w:t>6</w:t>
      </w:r>
      <w:r w:rsidRPr="002C5C7E">
        <w:rPr>
          <w:rFonts w:ascii="Impact" w:hAnsi="Impact"/>
        </w:rPr>
        <w:t xml:space="preserve"> – </w:t>
      </w:r>
      <w:r>
        <w:rPr>
          <w:rFonts w:ascii="Impact" w:hAnsi="Impact"/>
        </w:rPr>
        <w:t>Entropy</w:t>
      </w:r>
    </w:p>
    <w:tbl>
      <w:tblPr>
        <w:tblStyle w:val="TableGrid"/>
        <w:tblW w:w="0" w:type="auto"/>
        <w:tblLook w:val="04A0" w:firstRow="1" w:lastRow="0" w:firstColumn="1" w:lastColumn="0" w:noHBand="0" w:noVBand="1"/>
      </w:tblPr>
      <w:tblGrid>
        <w:gridCol w:w="4225"/>
      </w:tblGrid>
      <w:tr w:rsidR="00D9372A" w:rsidRPr="00027493" w14:paraId="10D016E3" w14:textId="77777777" w:rsidTr="00577A0D">
        <w:tc>
          <w:tcPr>
            <w:tcW w:w="4225" w:type="dxa"/>
            <w:shd w:val="clear" w:color="auto" w:fill="D9D9D9" w:themeFill="background1" w:themeFillShade="D9"/>
          </w:tcPr>
          <w:p w14:paraId="6793166C" w14:textId="77777777" w:rsidR="00D9372A" w:rsidRPr="00027493" w:rsidRDefault="00D9372A" w:rsidP="00577A0D">
            <w:pPr>
              <w:jc w:val="center"/>
              <w:rPr>
                <w:b/>
                <w:bCs/>
                <w:sz w:val="20"/>
                <w:szCs w:val="20"/>
              </w:rPr>
            </w:pPr>
            <w:r w:rsidRPr="00027493">
              <w:rPr>
                <w:b/>
                <w:bCs/>
                <w:sz w:val="20"/>
                <w:szCs w:val="20"/>
              </w:rPr>
              <w:t>Key Concepts About Entropy</w:t>
            </w:r>
          </w:p>
        </w:tc>
      </w:tr>
      <w:tr w:rsidR="00D9372A" w:rsidRPr="00027493" w14:paraId="289968B9" w14:textId="77777777" w:rsidTr="00577A0D">
        <w:tc>
          <w:tcPr>
            <w:tcW w:w="4225" w:type="dxa"/>
            <w:shd w:val="clear" w:color="auto" w:fill="FFFFFF" w:themeFill="background1"/>
          </w:tcPr>
          <w:p w14:paraId="1A0ABA4A" w14:textId="77777777" w:rsidR="00D9372A" w:rsidRPr="00027493" w:rsidRDefault="00D9372A" w:rsidP="00577A0D">
            <w:pPr>
              <w:rPr>
                <w:b/>
                <w:bCs/>
                <w:sz w:val="20"/>
                <w:szCs w:val="20"/>
              </w:rPr>
            </w:pPr>
            <w:r w:rsidRPr="00027493">
              <w:rPr>
                <w:b/>
                <w:bCs/>
                <w:sz w:val="20"/>
                <w:szCs w:val="20"/>
              </w:rPr>
              <w:t xml:space="preserve">#1 - </w:t>
            </w:r>
            <w:r w:rsidRPr="00027493">
              <w:rPr>
                <w:sz w:val="20"/>
                <w:szCs w:val="20"/>
              </w:rPr>
              <w:t>a thermodynamic function that increases as the number of energetically equivalent ways of arranging the components increases, S.</w:t>
            </w:r>
          </w:p>
        </w:tc>
      </w:tr>
      <w:tr w:rsidR="00D9372A" w:rsidRPr="00027493" w14:paraId="37743D12" w14:textId="77777777" w:rsidTr="00577A0D">
        <w:tc>
          <w:tcPr>
            <w:tcW w:w="4225" w:type="dxa"/>
            <w:shd w:val="clear" w:color="auto" w:fill="FFFFFF" w:themeFill="background1"/>
          </w:tcPr>
          <w:p w14:paraId="205351C2" w14:textId="77777777" w:rsidR="00D9372A" w:rsidRPr="00027493" w:rsidRDefault="00D9372A" w:rsidP="00577A0D">
            <w:pPr>
              <w:rPr>
                <w:b/>
                <w:bCs/>
                <w:sz w:val="20"/>
                <w:szCs w:val="20"/>
              </w:rPr>
            </w:pPr>
            <w:r w:rsidRPr="00027493">
              <w:rPr>
                <w:b/>
                <w:bCs/>
                <w:sz w:val="20"/>
                <w:szCs w:val="20"/>
              </w:rPr>
              <w:t xml:space="preserve">#2 – </w:t>
            </w:r>
            <w:r w:rsidRPr="00027493">
              <w:rPr>
                <w:sz w:val="20"/>
                <w:szCs w:val="20"/>
              </w:rPr>
              <w:t xml:space="preserve">Random systems have more energy dispersal and are more energetically stable, lower energy, than ordered systems. Therefore, entropy change is favorable when the result is more energy dispersal, when there are more microstate arrangements. When ∆S° is positive. </w:t>
            </w:r>
          </w:p>
        </w:tc>
      </w:tr>
      <w:tr w:rsidR="00D9372A" w:rsidRPr="00027493" w14:paraId="18DC89B2" w14:textId="77777777" w:rsidTr="00577A0D">
        <w:tc>
          <w:tcPr>
            <w:tcW w:w="4225" w:type="dxa"/>
            <w:shd w:val="clear" w:color="auto" w:fill="FFFFFF" w:themeFill="background1"/>
          </w:tcPr>
          <w:p w14:paraId="01579ADC" w14:textId="77777777" w:rsidR="00D9372A" w:rsidRPr="00027493" w:rsidRDefault="00D9372A" w:rsidP="00577A0D">
            <w:pPr>
              <w:rPr>
                <w:b/>
                <w:bCs/>
                <w:sz w:val="20"/>
                <w:szCs w:val="20"/>
              </w:rPr>
            </w:pPr>
            <w:r w:rsidRPr="00027493">
              <w:rPr>
                <w:b/>
                <w:bCs/>
                <w:sz w:val="20"/>
                <w:szCs w:val="20"/>
              </w:rPr>
              <w:t xml:space="preserve">#3 – </w:t>
            </w:r>
            <w:r w:rsidRPr="00027493">
              <w:rPr>
                <w:sz w:val="20"/>
                <w:szCs w:val="20"/>
              </w:rPr>
              <w:t xml:space="preserve">Increase in entropy of the universe is the driving force for spontaneous reactions. </w:t>
            </w:r>
          </w:p>
        </w:tc>
      </w:tr>
      <w:tr w:rsidR="00D9372A" w:rsidRPr="00027493" w14:paraId="5E03B237" w14:textId="77777777" w:rsidTr="00577A0D">
        <w:tc>
          <w:tcPr>
            <w:tcW w:w="4225" w:type="dxa"/>
            <w:shd w:val="clear" w:color="auto" w:fill="FFFFFF" w:themeFill="background1"/>
          </w:tcPr>
          <w:p w14:paraId="5F9B25BD" w14:textId="77777777" w:rsidR="00D9372A" w:rsidRPr="00027493" w:rsidRDefault="00D9372A" w:rsidP="00577A0D">
            <w:pPr>
              <w:rPr>
                <w:b/>
                <w:bCs/>
                <w:sz w:val="20"/>
                <w:szCs w:val="20"/>
              </w:rPr>
            </w:pPr>
            <w:r w:rsidRPr="00027493">
              <w:rPr>
                <w:b/>
                <w:bCs/>
                <w:sz w:val="20"/>
                <w:szCs w:val="20"/>
              </w:rPr>
              <w:t xml:space="preserve">#4 – </w:t>
            </w:r>
            <w:r w:rsidRPr="00027493">
              <w:rPr>
                <w:sz w:val="20"/>
                <w:szCs w:val="20"/>
              </w:rPr>
              <w:t>Nature proceeds toward the states that have the highest probabilities of existing.</w:t>
            </w:r>
            <w:r w:rsidRPr="00027493">
              <w:rPr>
                <w:b/>
                <w:bCs/>
                <w:sz w:val="20"/>
                <w:szCs w:val="20"/>
              </w:rPr>
              <w:t xml:space="preserve"> </w:t>
            </w:r>
          </w:p>
        </w:tc>
      </w:tr>
    </w:tbl>
    <w:p w14:paraId="4ED8D560" w14:textId="77777777" w:rsidR="00D9372A" w:rsidRDefault="00D9372A" w:rsidP="00D9372A">
      <w:pPr>
        <w:spacing w:after="0" w:line="240" w:lineRule="auto"/>
        <w:jc w:val="center"/>
      </w:pPr>
    </w:p>
    <w:p w14:paraId="6F7EA534" w14:textId="77777777" w:rsidR="00D9372A" w:rsidRDefault="00D9372A" w:rsidP="00D9372A">
      <w:pPr>
        <w:spacing w:after="0" w:line="240" w:lineRule="auto"/>
        <w:jc w:val="center"/>
      </w:pPr>
    </w:p>
    <w:p w14:paraId="6894BA38" w14:textId="77777777" w:rsidR="00D9372A" w:rsidRDefault="00D9372A" w:rsidP="00D9372A">
      <w:pPr>
        <w:spacing w:after="0" w:line="240" w:lineRule="auto"/>
        <w:rPr>
          <w:b/>
          <w:bCs/>
        </w:rPr>
      </w:pPr>
      <w:r>
        <w:rPr>
          <w:b/>
          <w:bCs/>
        </w:rPr>
        <w:t>Practice Problem:</w:t>
      </w:r>
      <w:r>
        <w:rPr>
          <w:b/>
          <w:bCs/>
        </w:rPr>
        <w:br/>
      </w:r>
      <w:r w:rsidRPr="00936FE2">
        <w:t xml:space="preserve">For the Rx: </w:t>
      </w:r>
      <w:r w:rsidRPr="00936FE2">
        <w:rPr>
          <w:b/>
          <w:bCs/>
        </w:rPr>
        <w:t>2NO(g) + O</w:t>
      </w:r>
      <w:r w:rsidRPr="00936FE2">
        <w:rPr>
          <w:b/>
          <w:bCs/>
          <w:vertAlign w:val="subscript"/>
        </w:rPr>
        <w:t>2</w:t>
      </w:r>
      <w:r w:rsidRPr="00936FE2">
        <w:rPr>
          <w:b/>
          <w:bCs/>
        </w:rPr>
        <w:t xml:space="preserve">(g) </w:t>
      </w:r>
      <w:r w:rsidRPr="00936FE2">
        <w:rPr>
          <w:b/>
          <w:bCs/>
        </w:rPr>
        <w:sym w:font="Wingdings" w:char="F0E0"/>
      </w:r>
      <w:r w:rsidRPr="00936FE2">
        <w:rPr>
          <w:b/>
          <w:bCs/>
        </w:rPr>
        <w:t xml:space="preserve"> 2NO</w:t>
      </w:r>
      <w:r w:rsidRPr="00936FE2">
        <w:rPr>
          <w:b/>
          <w:bCs/>
          <w:vertAlign w:val="subscript"/>
        </w:rPr>
        <w:t>2</w:t>
      </w:r>
      <w:r w:rsidRPr="00936FE2">
        <w:rPr>
          <w:b/>
          <w:bCs/>
        </w:rPr>
        <w:t xml:space="preserve">(g) </w:t>
      </w:r>
    </w:p>
    <w:p w14:paraId="2CB8D9C6" w14:textId="77777777" w:rsidR="00D9372A" w:rsidRPr="00936FE2" w:rsidRDefault="00D9372A" w:rsidP="00D9372A">
      <w:pPr>
        <w:spacing w:after="0" w:line="240" w:lineRule="auto"/>
      </w:pPr>
      <w:r w:rsidRPr="00936FE2">
        <w:sym w:font="Symbol" w:char="F044"/>
      </w:r>
      <w:r w:rsidRPr="00936FE2">
        <w:t>S</w:t>
      </w:r>
      <w:r w:rsidRPr="00936FE2">
        <w:sym w:font="Symbol" w:char="F0B0"/>
      </w:r>
      <w:proofErr w:type="spellStart"/>
      <w:r w:rsidRPr="00936FE2">
        <w:rPr>
          <w:vertAlign w:val="subscript"/>
        </w:rPr>
        <w:t>rxn</w:t>
      </w:r>
      <w:proofErr w:type="spellEnd"/>
      <w:r w:rsidRPr="00936FE2">
        <w:t>= -146.5 J/mol</w:t>
      </w:r>
      <w:r w:rsidRPr="00936FE2">
        <w:sym w:font="Symbol" w:char="F0B7"/>
      </w:r>
      <w:r w:rsidRPr="00936FE2">
        <w:t>K</w:t>
      </w:r>
    </w:p>
    <w:p w14:paraId="4A875C31" w14:textId="77777777" w:rsidR="00D9372A" w:rsidRPr="00936FE2" w:rsidRDefault="00D9372A" w:rsidP="00D9372A">
      <w:pPr>
        <w:spacing w:after="0" w:line="240" w:lineRule="auto"/>
      </w:pPr>
      <w:r w:rsidRPr="00936FE2">
        <w:t>Calculate the standard molar entropy of O</w:t>
      </w:r>
      <w:r w:rsidRPr="00936FE2">
        <w:rPr>
          <w:vertAlign w:val="subscript"/>
        </w:rPr>
        <w:t>2</w:t>
      </w:r>
      <w:r w:rsidRPr="00936FE2">
        <w:t xml:space="preserve">(g). </w:t>
      </w:r>
    </w:p>
    <w:p w14:paraId="45E8A6C8" w14:textId="77777777" w:rsidR="00D9372A" w:rsidRPr="00936FE2" w:rsidRDefault="00D9372A" w:rsidP="00D9372A">
      <w:pPr>
        <w:spacing w:after="0" w:line="240" w:lineRule="auto"/>
        <w:ind w:right="-180"/>
      </w:pPr>
      <w:r w:rsidRPr="00936FE2">
        <w:sym w:font="Symbol" w:char="F044"/>
      </w:r>
      <w:r w:rsidRPr="00936FE2">
        <w:t>S</w:t>
      </w:r>
      <w:r w:rsidRPr="00936FE2">
        <w:sym w:font="Symbol" w:char="F0B0"/>
      </w:r>
      <w:r w:rsidRPr="00936FE2">
        <w:rPr>
          <w:vertAlign w:val="subscript"/>
        </w:rPr>
        <w:t>NO(g)</w:t>
      </w:r>
      <w:r w:rsidRPr="00936FE2">
        <w:t xml:space="preserve"> = 210.8 J/mol</w:t>
      </w:r>
      <w:r w:rsidRPr="00936FE2">
        <w:sym w:font="Symbol" w:char="F0B7"/>
      </w:r>
      <w:proofErr w:type="gramStart"/>
      <w:r w:rsidRPr="00936FE2">
        <w:t>K ,</w:t>
      </w:r>
      <w:proofErr w:type="gramEnd"/>
      <w:r w:rsidRPr="00936FE2">
        <w:t xml:space="preserve"> </w:t>
      </w:r>
      <w:r w:rsidRPr="00936FE2">
        <w:sym w:font="Symbol" w:char="F044"/>
      </w:r>
      <w:r w:rsidRPr="00936FE2">
        <w:t>S</w:t>
      </w:r>
      <w:r w:rsidRPr="00936FE2">
        <w:sym w:font="Symbol" w:char="F0B0"/>
      </w:r>
      <w:r w:rsidRPr="00936FE2">
        <w:rPr>
          <w:vertAlign w:val="subscript"/>
        </w:rPr>
        <w:t>NO2(g)</w:t>
      </w:r>
      <w:r w:rsidRPr="00936FE2">
        <w:t xml:space="preserve"> = 240.1 J/mol</w:t>
      </w:r>
      <w:r w:rsidRPr="00936FE2">
        <w:sym w:font="Symbol" w:char="F0B7"/>
      </w:r>
      <w:r w:rsidRPr="00936FE2">
        <w:t>K</w:t>
      </w:r>
    </w:p>
    <w:p w14:paraId="09531E7A" w14:textId="77777777" w:rsidR="00D9372A" w:rsidRDefault="00D9372A" w:rsidP="00D9372A">
      <w:pPr>
        <w:spacing w:after="0" w:line="240" w:lineRule="auto"/>
      </w:pPr>
    </w:p>
    <w:p w14:paraId="54C4DD4D" w14:textId="77777777" w:rsidR="00D9372A" w:rsidRDefault="00D9372A" w:rsidP="00D9372A">
      <w:pPr>
        <w:spacing w:after="0" w:line="240" w:lineRule="auto"/>
        <w:jc w:val="center"/>
      </w:pPr>
    </w:p>
    <w:tbl>
      <w:tblPr>
        <w:tblStyle w:val="TableGrid"/>
        <w:tblW w:w="0" w:type="auto"/>
        <w:tblLook w:val="04A0" w:firstRow="1" w:lastRow="0" w:firstColumn="1" w:lastColumn="0" w:noHBand="0" w:noVBand="1"/>
      </w:tblPr>
      <w:tblGrid>
        <w:gridCol w:w="3955"/>
      </w:tblGrid>
      <w:tr w:rsidR="00D9372A" w:rsidRPr="009F644C" w14:paraId="59D0A09B" w14:textId="77777777" w:rsidTr="00577A0D">
        <w:tc>
          <w:tcPr>
            <w:tcW w:w="3955" w:type="dxa"/>
            <w:shd w:val="clear" w:color="auto" w:fill="D9D9D9" w:themeFill="background1" w:themeFillShade="D9"/>
          </w:tcPr>
          <w:p w14:paraId="1F6AA88B" w14:textId="77777777" w:rsidR="00D9372A" w:rsidRPr="009F644C" w:rsidRDefault="00D9372A" w:rsidP="00577A0D">
            <w:pPr>
              <w:jc w:val="center"/>
              <w:rPr>
                <w:b/>
                <w:bCs/>
              </w:rPr>
            </w:pPr>
            <w:r>
              <w:rPr>
                <w:b/>
                <w:bCs/>
              </w:rPr>
              <w:t>Some Changes that Increase Entropy</w:t>
            </w:r>
          </w:p>
        </w:tc>
      </w:tr>
      <w:tr w:rsidR="00D9372A" w:rsidRPr="009F644C" w14:paraId="3DB7401B" w14:textId="77777777" w:rsidTr="00577A0D">
        <w:tc>
          <w:tcPr>
            <w:tcW w:w="3955" w:type="dxa"/>
            <w:shd w:val="clear" w:color="auto" w:fill="FFFFFF" w:themeFill="background1"/>
          </w:tcPr>
          <w:p w14:paraId="33AE386B" w14:textId="77777777" w:rsidR="00D9372A" w:rsidRPr="009F644C" w:rsidRDefault="00D9372A" w:rsidP="00577A0D">
            <w:pPr>
              <w:rPr>
                <w:b/>
                <w:bCs/>
              </w:rPr>
            </w:pPr>
            <w:r w:rsidRPr="00B7402B">
              <w:rPr>
                <w:b/>
                <w:bCs/>
              </w:rPr>
              <w:t xml:space="preserve">#1 - </w:t>
            </w:r>
            <w:r w:rsidRPr="00B7402B">
              <w:t xml:space="preserve">Products are in a more dispersed </w:t>
            </w:r>
            <w:r>
              <w:br/>
              <w:t xml:space="preserve">        </w:t>
            </w:r>
            <w:r w:rsidRPr="00B7402B">
              <w:t>arrangement.</w:t>
            </w:r>
            <w:r w:rsidRPr="00B7402B">
              <w:rPr>
                <w:b/>
                <w:bCs/>
              </w:rPr>
              <w:t xml:space="preserve"> </w:t>
            </w:r>
          </w:p>
        </w:tc>
      </w:tr>
      <w:tr w:rsidR="00D9372A" w:rsidRPr="009F644C" w14:paraId="70A1CBE6" w14:textId="77777777" w:rsidTr="00577A0D">
        <w:tc>
          <w:tcPr>
            <w:tcW w:w="3955" w:type="dxa"/>
            <w:shd w:val="clear" w:color="auto" w:fill="FFFFFF" w:themeFill="background1"/>
          </w:tcPr>
          <w:p w14:paraId="3A23207A" w14:textId="77777777" w:rsidR="00D9372A" w:rsidRDefault="00D9372A" w:rsidP="00577A0D">
            <w:pPr>
              <w:rPr>
                <w:b/>
                <w:bCs/>
              </w:rPr>
            </w:pPr>
            <w:r w:rsidRPr="00B7402B">
              <w:rPr>
                <w:b/>
                <w:bCs/>
              </w:rPr>
              <w:t xml:space="preserve">#2 - </w:t>
            </w:r>
            <w:r w:rsidRPr="00B7402B">
              <w:t xml:space="preserve">Larger numbers of product </w:t>
            </w:r>
            <w:r>
              <w:br/>
              <w:t xml:space="preserve">        </w:t>
            </w:r>
            <w:r w:rsidRPr="00B7402B">
              <w:t>molecules than reactant molecules</w:t>
            </w:r>
            <w:r>
              <w:t>.</w:t>
            </w:r>
          </w:p>
        </w:tc>
      </w:tr>
      <w:tr w:rsidR="00D9372A" w:rsidRPr="009F644C" w14:paraId="5A8709DA" w14:textId="77777777" w:rsidTr="00577A0D">
        <w:tc>
          <w:tcPr>
            <w:tcW w:w="3955" w:type="dxa"/>
            <w:shd w:val="clear" w:color="auto" w:fill="FFFFFF" w:themeFill="background1"/>
          </w:tcPr>
          <w:p w14:paraId="0A181FC2" w14:textId="77777777" w:rsidR="00D9372A" w:rsidRPr="001417FC" w:rsidRDefault="00D9372A" w:rsidP="00577A0D">
            <w:pPr>
              <w:rPr>
                <w:b/>
                <w:bCs/>
              </w:rPr>
            </w:pPr>
            <w:r w:rsidRPr="00B7402B">
              <w:rPr>
                <w:b/>
                <w:bCs/>
              </w:rPr>
              <w:t xml:space="preserve">#3 - </w:t>
            </w:r>
            <w:proofErr w:type="spellStart"/>
            <w:r w:rsidRPr="00B7402B">
              <w:t>Rxn’s</w:t>
            </w:r>
            <w:proofErr w:type="spellEnd"/>
            <w:r w:rsidRPr="00B7402B">
              <w:t xml:space="preserve"> that have an increase in </w:t>
            </w:r>
            <w:r>
              <w:br/>
              <w:t xml:space="preserve">        </w:t>
            </w:r>
            <w:r w:rsidRPr="00B7402B">
              <w:t>temperature (exothermic)</w:t>
            </w:r>
            <w:r>
              <w:t>.</w:t>
            </w:r>
          </w:p>
        </w:tc>
      </w:tr>
      <w:tr w:rsidR="00D9372A" w:rsidRPr="009F644C" w14:paraId="38CFAF24" w14:textId="77777777" w:rsidTr="00577A0D">
        <w:tc>
          <w:tcPr>
            <w:tcW w:w="3955" w:type="dxa"/>
            <w:shd w:val="clear" w:color="auto" w:fill="FFFFFF" w:themeFill="background1"/>
          </w:tcPr>
          <w:p w14:paraId="0991C8C4" w14:textId="77777777" w:rsidR="00D9372A" w:rsidRPr="001417FC" w:rsidRDefault="00D9372A" w:rsidP="00577A0D">
            <w:pPr>
              <w:rPr>
                <w:b/>
                <w:bCs/>
              </w:rPr>
            </w:pPr>
            <w:r w:rsidRPr="00B7402B">
              <w:rPr>
                <w:b/>
                <w:bCs/>
              </w:rPr>
              <w:t xml:space="preserve">#4 – </w:t>
            </w:r>
            <w:r w:rsidRPr="00B7402B">
              <w:t xml:space="preserve">Products that have more </w:t>
            </w:r>
            <w:r>
              <w:br/>
              <w:t xml:space="preserve">        </w:t>
            </w:r>
            <w:r w:rsidRPr="00B7402B">
              <w:t>degrees of movement</w:t>
            </w:r>
            <w:r>
              <w:t>.</w:t>
            </w:r>
          </w:p>
        </w:tc>
      </w:tr>
      <w:tr w:rsidR="00D9372A" w:rsidRPr="009F644C" w14:paraId="2536E255" w14:textId="77777777" w:rsidTr="00577A0D">
        <w:tc>
          <w:tcPr>
            <w:tcW w:w="3955" w:type="dxa"/>
            <w:shd w:val="clear" w:color="auto" w:fill="FFFFFF" w:themeFill="background1"/>
          </w:tcPr>
          <w:p w14:paraId="127ECACD" w14:textId="77777777" w:rsidR="00D9372A" w:rsidRPr="00B7402B" w:rsidRDefault="00D9372A" w:rsidP="00577A0D">
            <w:pPr>
              <w:rPr>
                <w:b/>
                <w:bCs/>
              </w:rPr>
            </w:pPr>
            <w:r>
              <w:rPr>
                <w:b/>
                <w:bCs/>
              </w:rPr>
              <w:t xml:space="preserve">#5 – </w:t>
            </w:r>
            <w:r w:rsidRPr="00B7402B">
              <w:t xml:space="preserve">Products that have more </w:t>
            </w:r>
            <w:r>
              <w:br/>
              <w:t xml:space="preserve">        </w:t>
            </w:r>
            <w:r w:rsidRPr="00B7402B">
              <w:t>molecular complexity</w:t>
            </w:r>
            <w:r>
              <w:t>.</w:t>
            </w:r>
          </w:p>
        </w:tc>
      </w:tr>
    </w:tbl>
    <w:p w14:paraId="459591C6" w14:textId="77777777" w:rsidR="00D9372A" w:rsidRDefault="00D9372A" w:rsidP="00D9372A">
      <w:pPr>
        <w:spacing w:after="0" w:line="240" w:lineRule="auto"/>
        <w:jc w:val="center"/>
      </w:pPr>
      <w:r>
        <w:t xml:space="preserve"> </w:t>
      </w:r>
    </w:p>
    <w:p w14:paraId="160629EE" w14:textId="77777777" w:rsidR="00D9372A" w:rsidRDefault="00D9372A" w:rsidP="00D9372A">
      <w:pPr>
        <w:spacing w:after="0" w:line="240" w:lineRule="auto"/>
        <w:jc w:val="center"/>
      </w:pPr>
    </w:p>
    <w:p w14:paraId="05835081" w14:textId="77777777" w:rsidR="00D9372A" w:rsidRDefault="00D9372A" w:rsidP="00D9372A">
      <w:pPr>
        <w:spacing w:after="0" w:line="240" w:lineRule="auto"/>
        <w:jc w:val="center"/>
      </w:pPr>
    </w:p>
    <w:p w14:paraId="67295434" w14:textId="77777777" w:rsidR="00D9372A" w:rsidRDefault="00D9372A" w:rsidP="00D9372A">
      <w:pPr>
        <w:spacing w:after="0" w:line="240" w:lineRule="auto"/>
      </w:pPr>
    </w:p>
    <w:p w14:paraId="219BD769" w14:textId="77777777" w:rsidR="008C0E6E" w:rsidRDefault="008C0E6E"/>
    <w:sectPr w:rsidR="008C0E6E" w:rsidSect="008C0E6E">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6E"/>
    <w:rsid w:val="00027493"/>
    <w:rsid w:val="003A7073"/>
    <w:rsid w:val="0040635B"/>
    <w:rsid w:val="005A7C5E"/>
    <w:rsid w:val="00650AD1"/>
    <w:rsid w:val="008C0E6E"/>
    <w:rsid w:val="00C53445"/>
    <w:rsid w:val="00D9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04F1"/>
  <w15:chartTrackingRefBased/>
  <w15:docId w15:val="{85B5E9BA-1A88-4FBF-9095-54CE6C22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2022-08-25T21:11:00Z</dcterms:created>
  <dcterms:modified xsi:type="dcterms:W3CDTF">2023-05-16T21:49:00Z</dcterms:modified>
</cp:coreProperties>
</file>