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E9" w:rsidRPr="009D7F98" w:rsidRDefault="00DF72E9" w:rsidP="00DF72E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8361F" wp14:editId="58B8AA2A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F72E9" w:rsidRPr="009D7F98" w:rsidRDefault="00DF72E9" w:rsidP="00DF72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D327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361F" id="Rectangle 3" o:spid="_x0000_s1026" style="position:absolute;margin-left:338.25pt;margin-top:-54.9pt;width:209.4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:rsidR="00DF72E9" w:rsidRPr="009D7F98" w:rsidRDefault="00DF72E9" w:rsidP="00DF72E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D327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:rsidR="00DF72E9" w:rsidRDefault="00DF72E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:rsidR="00CA77D5" w:rsidRPr="00BE77E8" w:rsidRDefault="00BE77E8" w:rsidP="00A51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Directions: </w:t>
      </w:r>
      <w:r>
        <w:rPr>
          <w:rFonts w:ascii="Arial" w:hAnsi="Arial" w:cs="Arial"/>
          <w:sz w:val="20"/>
          <w:szCs w:val="20"/>
        </w:rPr>
        <w:t xml:space="preserve">Show all work in a way that would earn you credit on the AP Test! This is always the rule! Some </w:t>
      </w:r>
      <w:r w:rsidR="005C355D">
        <w:rPr>
          <w:rFonts w:ascii="Arial" w:hAnsi="Arial" w:cs="Arial"/>
          <w:sz w:val="20"/>
          <w:szCs w:val="20"/>
        </w:rPr>
        <w:t xml:space="preserve">answers are provided at the end. </w:t>
      </w:r>
      <w:r>
        <w:rPr>
          <w:rFonts w:ascii="Arial" w:hAnsi="Arial" w:cs="Arial"/>
          <w:sz w:val="20"/>
          <w:szCs w:val="20"/>
        </w:rPr>
        <w:t xml:space="preserve">If you need more space, use binder paper and staple to your worksheet. </w:t>
      </w:r>
    </w:p>
    <w:p w:rsidR="001D3274" w:rsidRDefault="001D3274" w:rsidP="001D327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415490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D3274">
              <w:rPr>
                <w:rFonts w:ascii="Arial" w:hAnsi="Arial" w:cs="Arial"/>
                <w:sz w:val="20"/>
                <w:szCs w:val="20"/>
              </w:rPr>
              <w:t>atalytic converter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in automobile</w:t>
            </w:r>
            <w:r>
              <w:rPr>
                <w:rFonts w:ascii="Arial" w:hAnsi="Arial" w:cs="Arial"/>
                <w:sz w:val="20"/>
                <w:szCs w:val="20"/>
              </w:rPr>
              <w:t>s use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274">
              <w:rPr>
                <w:rFonts w:ascii="Arial" w:hAnsi="Arial" w:cs="Arial"/>
                <w:sz w:val="20"/>
                <w:szCs w:val="20"/>
              </w:rPr>
              <w:t>NiO</w:t>
            </w:r>
            <w:proofErr w:type="spellEnd"/>
            <w:r w:rsidRPr="001D3274">
              <w:rPr>
                <w:rFonts w:ascii="Arial" w:hAnsi="Arial" w:cs="Arial"/>
                <w:sz w:val="20"/>
                <w:szCs w:val="20"/>
              </w:rPr>
              <w:t xml:space="preserve"> and Pt to speed the combustion of CO to CO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>. This is an example of:</w:t>
            </w:r>
          </w:p>
        </w:tc>
      </w:tr>
      <w:tr w:rsidR="001D3274" w:rsidRPr="001D3274" w:rsidTr="001D3274">
        <w:trPr>
          <w:trHeight w:val="1097"/>
        </w:trPr>
        <w:tc>
          <w:tcPr>
            <w:tcW w:w="10790" w:type="dxa"/>
          </w:tcPr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homogeneous catalysis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heterogeneous catalysis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acid hydrolysis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enzyme catalysis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1D3274" w:rsidRPr="001D3274" w:rsidTr="00415490">
        <w:tc>
          <w:tcPr>
            <w:tcW w:w="10790" w:type="dxa"/>
            <w:gridSpan w:val="2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 xml:space="preserve">The decomposition of </w:t>
            </w:r>
            <w:proofErr w:type="gramStart"/>
            <w:r w:rsidRPr="001D3274">
              <w:rPr>
                <w:rFonts w:ascii="Arial" w:hAnsi="Arial" w:cs="Arial"/>
                <w:sz w:val="20"/>
                <w:szCs w:val="20"/>
              </w:rPr>
              <w:t>N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>O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D3274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1D3274">
              <w:rPr>
                <w:rFonts w:ascii="Arial" w:hAnsi="Arial" w:cs="Arial"/>
                <w:sz w:val="20"/>
                <w:szCs w:val="20"/>
              </w:rPr>
              <w:t xml:space="preserve">g) </w:t>
            </w:r>
            <w:r w:rsidRPr="001D3274">
              <w:sym w:font="Symbol" w:char="F020"/>
            </w:r>
            <w:r w:rsidRPr="001D3274">
              <w:sym w:font="Symbol" w:char="F0AE"/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(g) + NO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(g) proceeds as a 1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order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</w:t>
            </w:r>
            <w:r w:rsidRPr="001D3274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1D3274">
              <w:rPr>
                <w:rFonts w:ascii="Arial" w:hAnsi="Arial" w:cs="Arial"/>
                <w:sz w:val="20"/>
                <w:szCs w:val="20"/>
              </w:rPr>
              <w:t xml:space="preserve"> with a half-life of 30.0 seconds at a certain temperature. If the initial concentration [N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>O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D3274">
              <w:rPr>
                <w:rFonts w:ascii="Arial" w:hAnsi="Arial" w:cs="Arial"/>
                <w:sz w:val="20"/>
                <w:szCs w:val="20"/>
              </w:rPr>
              <w:t>]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= 0.400 M, what is the concentration after 120 seconds?</w:t>
            </w:r>
          </w:p>
        </w:tc>
      </w:tr>
      <w:tr w:rsidR="001D3274" w:rsidRPr="001D3274" w:rsidTr="00136CE9">
        <w:trPr>
          <w:trHeight w:val="1362"/>
        </w:trPr>
        <w:tc>
          <w:tcPr>
            <w:tcW w:w="2065" w:type="dxa"/>
          </w:tcPr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0.000 M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0.100 M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0.025 M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0.200 M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e) 0.050 M</w:t>
            </w:r>
          </w:p>
        </w:tc>
        <w:tc>
          <w:tcPr>
            <w:tcW w:w="8725" w:type="dxa"/>
          </w:tcPr>
          <w:p w:rsidR="001D3274" w:rsidRPr="001D3274" w:rsidRDefault="005C355D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13"/>
                <w:szCs w:val="13"/>
              </w:rPr>
              <w:t>Show work: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1D3274" w:rsidRPr="001D3274" w:rsidTr="00415490">
        <w:tc>
          <w:tcPr>
            <w:tcW w:w="10790" w:type="dxa"/>
            <w:gridSpan w:val="2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What is the rate constant of the reaction in Problem #2?</w:t>
            </w:r>
          </w:p>
        </w:tc>
      </w:tr>
      <w:tr w:rsidR="001D3274" w:rsidRPr="001D3274" w:rsidTr="005E0458">
        <w:trPr>
          <w:trHeight w:val="950"/>
        </w:trPr>
        <w:tc>
          <w:tcPr>
            <w:tcW w:w="2065" w:type="dxa"/>
          </w:tcPr>
          <w:p w:rsidR="001D3274" w:rsidRPr="001D3274" w:rsidRDefault="001D3274" w:rsidP="001D327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2.31 x 10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  <w:p w:rsidR="001D3274" w:rsidRPr="001D3274" w:rsidRDefault="001D3274" w:rsidP="001D327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30.0 s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  <w:p w:rsidR="001D3274" w:rsidRPr="001D3274" w:rsidRDefault="001D3274" w:rsidP="001D327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20.7 s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  <w:p w:rsidR="001D3274" w:rsidRPr="001D3274" w:rsidRDefault="001D3274" w:rsidP="001D3274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43.3 s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725" w:type="dxa"/>
          </w:tcPr>
          <w:p w:rsidR="001D3274" w:rsidRPr="001D3274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13"/>
                <w:szCs w:val="13"/>
              </w:rPr>
              <w:t>Show work: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1D3274" w:rsidRPr="001D3274" w:rsidTr="001D3274">
        <w:tc>
          <w:tcPr>
            <w:tcW w:w="10790" w:type="dxa"/>
            <w:gridSpan w:val="2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Which equation below best gives the concentration of N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>O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versus time in Problem #2?</w:t>
            </w:r>
          </w:p>
        </w:tc>
      </w:tr>
      <w:tr w:rsidR="001D3274" w:rsidRPr="001D3274" w:rsidTr="001D3274">
        <w:trPr>
          <w:trHeight w:val="2041"/>
        </w:trPr>
        <w:tc>
          <w:tcPr>
            <w:tcW w:w="2785" w:type="dxa"/>
            <w:vAlign w:val="center"/>
          </w:tcPr>
          <w:p w:rsidR="001D3274" w:rsidRPr="001D3274" w:rsidRDefault="001D3274" w:rsidP="001D32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a)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5</m:t>
                                </m:r>
                              </m:sub>
                            </m:sSub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b>
                    </m:sSub>
                  </m:den>
                </m:f>
              </m:oMath>
            </m:oMathPara>
          </w:p>
          <w:p w:rsidR="001D3274" w:rsidRPr="001D3274" w:rsidRDefault="001D3274" w:rsidP="001D3274">
            <w:pPr>
              <w:spacing w:line="36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b)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=kt</m:t>
                </m:r>
              </m:oMath>
            </m:oMathPara>
          </w:p>
          <w:p w:rsidR="001D3274" w:rsidRPr="001D3274" w:rsidRDefault="001D3274" w:rsidP="001D32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c)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5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-kt</m:t>
                    </m:r>
                  </m:sup>
                </m:sSup>
              </m:oMath>
            </m:oMathPara>
          </w:p>
          <w:p w:rsidR="001D3274" w:rsidRPr="001D3274" w:rsidRDefault="001D3274" w:rsidP="001D32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d)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5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5</m:t>
                                </m:r>
                              </m:sub>
                            </m:sSub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+kt</m:t>
                </m:r>
              </m:oMath>
            </m:oMathPara>
          </w:p>
        </w:tc>
        <w:tc>
          <w:tcPr>
            <w:tcW w:w="8005" w:type="dxa"/>
            <w:vAlign w:val="center"/>
          </w:tcPr>
          <w:p w:rsidR="001D3274" w:rsidRPr="001D3274" w:rsidRDefault="001D3274" w:rsidP="001D32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1D3274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Radioactive isotope concentrations typically decay by:</w:t>
            </w:r>
          </w:p>
        </w:tc>
      </w:tr>
      <w:tr w:rsidR="001D3274" w:rsidRPr="001D3274" w:rsidTr="00C81ED4">
        <w:trPr>
          <w:trHeight w:val="1088"/>
        </w:trPr>
        <w:tc>
          <w:tcPr>
            <w:tcW w:w="10790" w:type="dxa"/>
          </w:tcPr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no simple order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zero order kinetics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second order kinetics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first order kinetics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1D3274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The collision theory of reaction rates:</w:t>
            </w:r>
          </w:p>
        </w:tc>
      </w:tr>
      <w:tr w:rsidR="001D3274" w:rsidRPr="001D3274" w:rsidTr="001D3274">
        <w:trPr>
          <w:trHeight w:val="950"/>
        </w:trPr>
        <w:tc>
          <w:tcPr>
            <w:tcW w:w="10790" w:type="dxa"/>
          </w:tcPr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I. helps to expose how temperature affects the rate.</w:t>
            </w: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II. assumes that the rate depends on the frequency at which reactants collide</w:t>
            </w: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III. assumes that reactants must be in correct orientation to react</w:t>
            </w: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IV. assumes that only collisions with energy above the activation energy are successful</w:t>
            </w:r>
          </w:p>
        </w:tc>
      </w:tr>
      <w:tr w:rsidR="001D3274" w:rsidRPr="001D3274" w:rsidTr="00E74DC3">
        <w:trPr>
          <w:trHeight w:val="1088"/>
        </w:trPr>
        <w:tc>
          <w:tcPr>
            <w:tcW w:w="10790" w:type="dxa"/>
          </w:tcPr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I, II, and III are correct. IV is incorrect.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I, III, and IV are correct. II is incorrect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II, III, and IV are correct. I is incorrect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All are correct statements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1D3274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lastRenderedPageBreak/>
              <w:t>The relationship between the rate constant and temperature is expressed by the:</w:t>
            </w:r>
          </w:p>
        </w:tc>
      </w:tr>
      <w:tr w:rsidR="001D3274" w:rsidRPr="001D3274" w:rsidTr="00C318DE">
        <w:trPr>
          <w:trHeight w:val="1088"/>
        </w:trPr>
        <w:tc>
          <w:tcPr>
            <w:tcW w:w="10790" w:type="dxa"/>
          </w:tcPr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Arrhenius equation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rate law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integrated rate equation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reaction mechanism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1D3274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 xml:space="preserve">Identify the 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>INCORRECT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statement below:</w:t>
            </w:r>
          </w:p>
        </w:tc>
      </w:tr>
      <w:tr w:rsidR="001D3274" w:rsidRPr="001D3274" w:rsidTr="00E634F6">
        <w:trPr>
          <w:trHeight w:val="1362"/>
        </w:trPr>
        <w:tc>
          <w:tcPr>
            <w:tcW w:w="10790" w:type="dxa"/>
          </w:tcPr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The rate of a typical reaction doubles with a 10° C rise in temperature.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The overall rate of reaction is determined by the rate of the fastest elementary step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The reaction mechanism is a step-by-step pathway by which reaction occurs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The reaction mechanism is typically a series of elementary reaction steps</w:t>
            </w:r>
          </w:p>
          <w:p w:rsidR="001D3274" w:rsidRPr="001D3274" w:rsidRDefault="001D3274" w:rsidP="001D3274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e) Reaction orders for a single elementary step are equal to the balancing coefficients for that step</w:t>
            </w: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1D3274" w:rsidRPr="001D3274" w:rsidTr="005C355D">
        <w:tc>
          <w:tcPr>
            <w:tcW w:w="10790" w:type="dxa"/>
            <w:gridSpan w:val="2"/>
          </w:tcPr>
          <w:p w:rsidR="001D3274" w:rsidRPr="005C355D" w:rsidRDefault="001D3274" w:rsidP="005C355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355D">
              <w:rPr>
                <w:rFonts w:ascii="Arial" w:hAnsi="Arial" w:cs="Arial"/>
                <w:sz w:val="20"/>
                <w:szCs w:val="20"/>
              </w:rPr>
              <w:t>Calculator problem - Cyclopropane rearranges to form propene:</w:t>
            </w:r>
            <w:r w:rsidR="005C355D" w:rsidRPr="005C355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3274">
              <w:rPr>
                <w:b/>
                <w:bCs/>
              </w:rPr>
              <w:sym w:font="Symbol" w:char="F0AE"/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CH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</w:rPr>
              <w:t>=CHCH</w:t>
            </w:r>
            <w:r w:rsidRPr="005C355D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</w:p>
          <w:p w:rsidR="001D3274" w:rsidRPr="001D3274" w:rsidRDefault="001D3274" w:rsidP="0041549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3274"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 w:rsidRPr="001D3274">
              <w:rPr>
                <w:rFonts w:ascii="Arial" w:hAnsi="Arial" w:cs="Arial"/>
                <w:sz w:val="20"/>
                <w:szCs w:val="20"/>
              </w:rPr>
              <w:t xml:space="preserve"> first-order kinetics. The rate constant is k = 2.74 x 10-3 s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1D3274">
              <w:rPr>
                <w:rFonts w:ascii="Arial" w:hAnsi="Arial" w:cs="Arial"/>
                <w:sz w:val="20"/>
                <w:szCs w:val="20"/>
              </w:rPr>
              <w:t>. The initial concentration of cyclopropane is 0.290 M. What will be the concentration of cyclopropane after 100 seconds?</w:t>
            </w:r>
          </w:p>
        </w:tc>
      </w:tr>
      <w:tr w:rsidR="005C355D" w:rsidRPr="001D3274" w:rsidTr="005C355D">
        <w:trPr>
          <w:trHeight w:val="1088"/>
        </w:trPr>
        <w:tc>
          <w:tcPr>
            <w:tcW w:w="2155" w:type="dxa"/>
          </w:tcPr>
          <w:p w:rsidR="005C355D" w:rsidRPr="001D3274" w:rsidRDefault="005C355D" w:rsidP="005C355D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a) 0.220 M</w:t>
            </w:r>
          </w:p>
          <w:p w:rsidR="005C355D" w:rsidRPr="001D3274" w:rsidRDefault="005C355D" w:rsidP="005C355D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b) 0.760 M</w:t>
            </w:r>
          </w:p>
          <w:p w:rsidR="005C355D" w:rsidRPr="001D3274" w:rsidRDefault="005C355D" w:rsidP="005C355D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c) 2.74 x 10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:rsidR="005C355D" w:rsidRPr="001D3274" w:rsidRDefault="005C355D" w:rsidP="005C355D">
            <w:pPr>
              <w:spacing w:line="276" w:lineRule="auto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d) 7.94 x 10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8635" w:type="dxa"/>
          </w:tcPr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  <w:r w:rsidRPr="001D3274">
              <w:rPr>
                <w:rFonts w:ascii="Arial" w:hAnsi="Arial" w:cs="Arial"/>
                <w:sz w:val="13"/>
                <w:szCs w:val="13"/>
              </w:rPr>
              <w:t>Show work:</w:t>
            </w: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Default="005C355D" w:rsidP="00415490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:rsidR="005C355D" w:rsidRPr="001D3274" w:rsidRDefault="005C355D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5C355D">
        <w:tc>
          <w:tcPr>
            <w:tcW w:w="10790" w:type="dxa"/>
          </w:tcPr>
          <w:p w:rsidR="001D3274" w:rsidRPr="005C355D" w:rsidRDefault="001D3274" w:rsidP="005C355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C355D">
              <w:rPr>
                <w:rFonts w:ascii="Arial" w:hAnsi="Arial" w:cs="Arial"/>
                <w:sz w:val="20"/>
                <w:szCs w:val="20"/>
              </w:rPr>
              <w:t>For the reaction given below, what is the instantaneous rate for each of the reactants and products?</w:t>
            </w:r>
          </w:p>
          <w:p w:rsidR="001D3274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D3274" w:rsidRPr="001D3274">
              <w:rPr>
                <w:rFonts w:ascii="Arial" w:hAnsi="Arial" w:cs="Arial"/>
                <w:sz w:val="20"/>
                <w:szCs w:val="20"/>
              </w:rPr>
              <w:t xml:space="preserve">3 A + 2 B </w:t>
            </w:r>
            <w:r w:rsidR="001D3274" w:rsidRPr="001D327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E"/>
            </w:r>
            <w:r w:rsidR="001D3274" w:rsidRPr="001D3274">
              <w:rPr>
                <w:rFonts w:ascii="Arial" w:hAnsi="Arial" w:cs="Arial"/>
                <w:sz w:val="20"/>
                <w:szCs w:val="20"/>
              </w:rPr>
              <w:t xml:space="preserve">  4 C</w:t>
            </w:r>
          </w:p>
          <w:p w:rsidR="005C355D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55D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55D" w:rsidRPr="001D3274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355D" w:rsidTr="005C355D">
        <w:tc>
          <w:tcPr>
            <w:tcW w:w="10790" w:type="dxa"/>
          </w:tcPr>
          <w:p w:rsidR="005C355D" w:rsidRDefault="005C355D" w:rsidP="005C355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C355D">
              <w:rPr>
                <w:rFonts w:ascii="Arial" w:hAnsi="Arial" w:cs="Arial"/>
                <w:sz w:val="20"/>
                <w:szCs w:val="20"/>
              </w:rPr>
              <w:t>Given the following experimental data, find the rate law and the rate constant for the reaction:</w:t>
            </w:r>
          </w:p>
          <w:p w:rsidR="005C355D" w:rsidRDefault="005C355D" w:rsidP="005C355D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>NO (g) + NO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(g) + O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(g) 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E"/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(g)</w:t>
            </w:r>
          </w:p>
          <w:p w:rsidR="005C355D" w:rsidRDefault="005C355D" w:rsidP="005C355D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"/>
              <w:gridCol w:w="1073"/>
              <w:gridCol w:w="1140"/>
              <w:gridCol w:w="1010"/>
              <w:gridCol w:w="1684"/>
            </w:tblGrid>
            <w:tr w:rsidR="005C355D" w:rsidRPr="005C355D" w:rsidTr="005C355D">
              <w:tc>
                <w:tcPr>
                  <w:tcW w:w="666" w:type="dxa"/>
                  <w:tcBorders>
                    <w:bottom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Run</w:t>
                  </w:r>
                </w:p>
              </w:tc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[NO]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  <w:vertAlign w:val="subscript"/>
                    </w:rPr>
                    <w:t>0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 , M</w:t>
                  </w:r>
                </w:p>
              </w:tc>
              <w:tc>
                <w:tcPr>
                  <w:tcW w:w="1140" w:type="dxa"/>
                  <w:tcBorders>
                    <w:bottom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[NO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  <w:vertAlign w:val="subscript"/>
                    </w:rPr>
                    <w:t>2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]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  <w:vertAlign w:val="subscript"/>
                    </w:rPr>
                    <w:t>0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 , M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[O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  <w:vertAlign w:val="subscript"/>
                    </w:rPr>
                    <w:t>2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]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  <w:vertAlign w:val="subscript"/>
                    </w:rPr>
                    <w:t>0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 , M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>Initial Rate, Ms</w:t>
                  </w:r>
                  <w:r w:rsidRPr="005C355D">
                    <w:rPr>
                      <w:rFonts w:ascii="Arial" w:hAnsi="Arial" w:cs="Arial"/>
                      <w:b/>
                      <w:bCs/>
                      <w:sz w:val="18"/>
                      <w:szCs w:val="20"/>
                      <w:vertAlign w:val="superscript"/>
                    </w:rPr>
                    <w:t>-1</w:t>
                  </w:r>
                </w:p>
              </w:tc>
            </w:tr>
            <w:tr w:rsidR="005C355D" w:rsidRPr="005C355D" w:rsidTr="005C355D">
              <w:tc>
                <w:tcPr>
                  <w:tcW w:w="666" w:type="dxa"/>
                  <w:tcBorders>
                    <w:top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</w:tcBorders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2.1E</w:t>
                  </w:r>
                  <w:r w:rsidRPr="005C355D">
                    <w:rPr>
                      <w:rFonts w:ascii="Arial" w:hAnsi="Arial" w:cs="Arial"/>
                      <w:sz w:val="18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5C355D" w:rsidRPr="005C355D" w:rsidTr="005C355D">
              <w:tc>
                <w:tcPr>
                  <w:tcW w:w="666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1073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0.20</w:t>
                  </w:r>
                </w:p>
              </w:tc>
              <w:tc>
                <w:tcPr>
                  <w:tcW w:w="114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01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684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4.2E</w:t>
                  </w:r>
                  <w:r w:rsidRPr="005C355D">
                    <w:rPr>
                      <w:rFonts w:ascii="Arial" w:hAnsi="Arial" w:cs="Arial"/>
                      <w:sz w:val="18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5C355D" w:rsidRPr="005C355D" w:rsidTr="005C355D">
              <w:tc>
                <w:tcPr>
                  <w:tcW w:w="666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073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0.20</w:t>
                  </w:r>
                </w:p>
              </w:tc>
              <w:tc>
                <w:tcPr>
                  <w:tcW w:w="114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0.30</w:t>
                  </w:r>
                </w:p>
              </w:tc>
              <w:tc>
                <w:tcPr>
                  <w:tcW w:w="101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0.20</w:t>
                  </w:r>
                </w:p>
              </w:tc>
              <w:tc>
                <w:tcPr>
                  <w:tcW w:w="1684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1.26E</w:t>
                  </w:r>
                  <w:r w:rsidRPr="005C355D">
                    <w:rPr>
                      <w:rFonts w:ascii="Arial" w:hAnsi="Arial" w:cs="Arial"/>
                      <w:sz w:val="18"/>
                      <w:szCs w:val="20"/>
                      <w:vertAlign w:val="superscript"/>
                    </w:rPr>
                    <w:t>-1</w:t>
                  </w:r>
                </w:p>
              </w:tc>
            </w:tr>
            <w:tr w:rsidR="005C355D" w:rsidRPr="005C355D" w:rsidTr="005C355D">
              <w:tc>
                <w:tcPr>
                  <w:tcW w:w="666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1073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14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0.10</w:t>
                  </w:r>
                </w:p>
              </w:tc>
              <w:tc>
                <w:tcPr>
                  <w:tcW w:w="101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0.20</w:t>
                  </w:r>
                </w:p>
              </w:tc>
              <w:tc>
                <w:tcPr>
                  <w:tcW w:w="1684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5C355D">
                    <w:rPr>
                      <w:rFonts w:ascii="Arial" w:hAnsi="Arial" w:cs="Arial"/>
                      <w:sz w:val="18"/>
                      <w:szCs w:val="20"/>
                    </w:rPr>
                    <w:t>2.1E</w:t>
                  </w:r>
                  <w:r w:rsidRPr="005C355D">
                    <w:rPr>
                      <w:rFonts w:ascii="Arial" w:hAnsi="Arial" w:cs="Arial"/>
                      <w:sz w:val="18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5C355D" w:rsidRPr="005C355D" w:rsidTr="005C355D">
              <w:tc>
                <w:tcPr>
                  <w:tcW w:w="666" w:type="dxa"/>
                </w:tcPr>
                <w:p w:rsid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010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:rsidR="005C355D" w:rsidRPr="005C355D" w:rsidRDefault="005C355D" w:rsidP="005C355D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:rsidR="005C355D" w:rsidRPr="005C355D" w:rsidRDefault="005C355D" w:rsidP="005C355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C355D" w:rsidRDefault="005C355D" w:rsidP="001D32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55D" w:rsidRDefault="005C355D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10"/>
        <w:gridCol w:w="5395"/>
      </w:tblGrid>
      <w:tr w:rsidR="001D3274" w:rsidRPr="001D3274" w:rsidTr="00415490">
        <w:tc>
          <w:tcPr>
            <w:tcW w:w="10790" w:type="dxa"/>
            <w:gridSpan w:val="3"/>
          </w:tcPr>
          <w:p w:rsidR="001D3274" w:rsidRPr="005C355D" w:rsidRDefault="001D3274" w:rsidP="006A3A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355D">
              <w:rPr>
                <w:rFonts w:ascii="Arial" w:hAnsi="Arial" w:cs="Arial"/>
                <w:sz w:val="20"/>
                <w:szCs w:val="20"/>
              </w:rPr>
              <w:t xml:space="preserve">The half-life of a radioisotope is found to be 4.55 minutes. If the decay follows first order kinetics, what percentage of </w:t>
            </w:r>
            <w:proofErr w:type="spellStart"/>
            <w:r w:rsidRPr="005C355D">
              <w:rPr>
                <w:rFonts w:ascii="Arial" w:hAnsi="Arial" w:cs="Arial"/>
                <w:sz w:val="20"/>
                <w:szCs w:val="20"/>
              </w:rPr>
              <w:t>isotopewill</w:t>
            </w:r>
            <w:proofErr w:type="spellEnd"/>
            <w:r w:rsidRPr="005C355D">
              <w:rPr>
                <w:rFonts w:ascii="Arial" w:hAnsi="Arial" w:cs="Arial"/>
                <w:sz w:val="20"/>
                <w:szCs w:val="20"/>
              </w:rPr>
              <w:t xml:space="preserve"> remain after 2.00 hours?</w:t>
            </w:r>
          </w:p>
          <w:p w:rsidR="001D3274" w:rsidRPr="001D3274" w:rsidRDefault="001D3274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274" w:rsidRDefault="001D3274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55D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55D" w:rsidRPr="001D3274" w:rsidRDefault="005C355D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274" w:rsidRPr="001D3274" w:rsidTr="00415490">
        <w:tc>
          <w:tcPr>
            <w:tcW w:w="10790" w:type="dxa"/>
            <w:gridSpan w:val="3"/>
          </w:tcPr>
          <w:p w:rsidR="001D3274" w:rsidRPr="005C355D" w:rsidRDefault="001D3274" w:rsidP="005C355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355D">
              <w:rPr>
                <w:rFonts w:ascii="Arial" w:hAnsi="Arial" w:cs="Arial"/>
                <w:sz w:val="20"/>
                <w:szCs w:val="20"/>
              </w:rPr>
              <w:lastRenderedPageBreak/>
              <w:t>The mechanism of a reaction is shown below.</w:t>
            </w:r>
          </w:p>
        </w:tc>
      </w:tr>
      <w:tr w:rsidR="005C355D" w:rsidRPr="001D3274" w:rsidTr="005C355D">
        <w:trPr>
          <w:trHeight w:val="865"/>
        </w:trPr>
        <w:tc>
          <w:tcPr>
            <w:tcW w:w="4585" w:type="dxa"/>
          </w:tcPr>
          <w:p w:rsidR="005C355D" w:rsidRPr="001D3274" w:rsidRDefault="005C355D" w:rsidP="005C3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 xml:space="preserve">HOOH + I¯ 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E"/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 HOI + OH¯   (slow)</w:t>
            </w:r>
          </w:p>
          <w:p w:rsidR="005C355D" w:rsidRDefault="005C355D" w:rsidP="005C3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 xml:space="preserve">HOI + I¯ 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E"/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 I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+ OH¯            (fast)</w:t>
            </w:r>
          </w:p>
          <w:p w:rsidR="005C355D" w:rsidRPr="001D3274" w:rsidRDefault="005C355D" w:rsidP="005C35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2OH¯ + 2H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D3274">
              <w:rPr>
                <w:rFonts w:ascii="Arial" w:hAnsi="Arial" w:cs="Arial"/>
                <w:sz w:val="20"/>
                <w:szCs w:val="20"/>
              </w:rPr>
              <w:t>O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27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AE"/>
            </w:r>
            <w:r w:rsidRPr="001D3274">
              <w:rPr>
                <w:rFonts w:ascii="Arial" w:hAnsi="Arial" w:cs="Arial"/>
                <w:sz w:val="20"/>
                <w:szCs w:val="20"/>
              </w:rPr>
              <w:t xml:space="preserve">  4 H</w:t>
            </w:r>
            <w:r w:rsidRPr="001D327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D3274">
              <w:rPr>
                <w:rFonts w:ascii="Arial" w:hAnsi="Arial" w:cs="Arial"/>
                <w:sz w:val="20"/>
                <w:szCs w:val="20"/>
              </w:rPr>
              <w:t>O       (fast)</w:t>
            </w:r>
          </w:p>
        </w:tc>
        <w:tc>
          <w:tcPr>
            <w:tcW w:w="6205" w:type="dxa"/>
            <w:gridSpan w:val="2"/>
          </w:tcPr>
          <w:p w:rsidR="005C355D" w:rsidRPr="005C355D" w:rsidRDefault="005C355D" w:rsidP="005C355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What is the overall reaction?</w:t>
            </w:r>
          </w:p>
        </w:tc>
      </w:tr>
      <w:tr w:rsidR="005C355D" w:rsidRPr="001D3274" w:rsidTr="005C355D">
        <w:trPr>
          <w:trHeight w:val="864"/>
        </w:trPr>
        <w:tc>
          <w:tcPr>
            <w:tcW w:w="5395" w:type="dxa"/>
            <w:gridSpan w:val="2"/>
          </w:tcPr>
          <w:p w:rsidR="005C355D" w:rsidRPr="001D3274" w:rsidRDefault="005C355D" w:rsidP="005C355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Which compounds are intermediates?</w:t>
            </w:r>
          </w:p>
        </w:tc>
        <w:tc>
          <w:tcPr>
            <w:tcW w:w="5395" w:type="dxa"/>
          </w:tcPr>
          <w:p w:rsidR="005C355D" w:rsidRPr="001D3274" w:rsidRDefault="005C355D" w:rsidP="005C355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Predict the rate law based on this mechanism</w:t>
            </w:r>
          </w:p>
          <w:p w:rsidR="005C355D" w:rsidRPr="001D3274" w:rsidRDefault="005C355D" w:rsidP="005C355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55D" w:rsidRPr="001D3274" w:rsidTr="00415490">
        <w:tc>
          <w:tcPr>
            <w:tcW w:w="10790" w:type="dxa"/>
            <w:gridSpan w:val="3"/>
          </w:tcPr>
          <w:p w:rsidR="005C355D" w:rsidRPr="001D3274" w:rsidRDefault="005C355D" w:rsidP="005C355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What is the overall order of the reaction?</w:t>
            </w:r>
          </w:p>
          <w:p w:rsidR="005C355D" w:rsidRPr="001D3274" w:rsidRDefault="005C355D" w:rsidP="005C355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3274" w:rsidRPr="001D3274" w:rsidTr="00415490">
        <w:tc>
          <w:tcPr>
            <w:tcW w:w="10790" w:type="dxa"/>
          </w:tcPr>
          <w:p w:rsidR="001D3274" w:rsidRPr="005C355D" w:rsidRDefault="001D3274" w:rsidP="005C355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355D">
              <w:rPr>
                <w:rFonts w:ascii="Arial" w:hAnsi="Arial" w:cs="Arial"/>
                <w:sz w:val="20"/>
                <w:szCs w:val="20"/>
              </w:rPr>
              <w:t xml:space="preserve">For the reaction A + B </w:t>
            </w:r>
            <w:r w:rsidRPr="001D3274">
              <w:rPr>
                <w:b/>
                <w:bCs/>
              </w:rPr>
              <w:sym w:font="Symbol" w:char="F0AE"/>
            </w:r>
            <w:r w:rsidRPr="005C355D">
              <w:rPr>
                <w:rFonts w:ascii="Arial" w:hAnsi="Arial" w:cs="Arial"/>
                <w:sz w:val="20"/>
                <w:szCs w:val="20"/>
              </w:rPr>
              <w:t xml:space="preserve">  C, the rate constant at 215</w:t>
            </w:r>
            <w:r w:rsidRPr="005C355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C355D">
              <w:rPr>
                <w:rFonts w:ascii="Arial" w:hAnsi="Arial" w:cs="Arial"/>
                <w:sz w:val="20"/>
                <w:szCs w:val="20"/>
              </w:rPr>
              <w:t>C is 5.0 x10</w:t>
            </w:r>
            <w:r w:rsidRPr="005C355D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5C355D">
              <w:rPr>
                <w:rFonts w:ascii="Arial" w:hAnsi="Arial" w:cs="Arial"/>
                <w:sz w:val="20"/>
                <w:szCs w:val="20"/>
              </w:rPr>
              <w:t xml:space="preserve"> and the rate constant at 452</w:t>
            </w:r>
            <w:r w:rsidRPr="005C355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C355D">
              <w:rPr>
                <w:rFonts w:ascii="Arial" w:hAnsi="Arial" w:cs="Arial"/>
                <w:sz w:val="20"/>
                <w:szCs w:val="20"/>
              </w:rPr>
              <w:t>C is 1.2 x 10</w:t>
            </w:r>
            <w:r w:rsidRPr="005C355D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5C3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3274" w:rsidRPr="001D3274" w:rsidTr="00415490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What is the activation energy in kJ/</w:t>
            </w:r>
            <w:proofErr w:type="spellStart"/>
            <w:r w:rsidRPr="001D3274">
              <w:rPr>
                <w:rFonts w:ascii="Arial" w:hAnsi="Arial" w:cs="Arial"/>
                <w:sz w:val="20"/>
                <w:szCs w:val="20"/>
              </w:rPr>
              <w:t>mol</w:t>
            </w:r>
            <w:proofErr w:type="spellEnd"/>
            <w:r w:rsidRPr="001D3274">
              <w:rPr>
                <w:rFonts w:ascii="Arial" w:hAnsi="Arial" w:cs="Arial"/>
                <w:sz w:val="20"/>
                <w:szCs w:val="20"/>
              </w:rPr>
              <w:t>?</w:t>
            </w:r>
            <w:r w:rsidRPr="001D3274">
              <w:rPr>
                <w:rFonts w:ascii="Arial" w:hAnsi="Arial" w:cs="Arial"/>
                <w:sz w:val="20"/>
                <w:szCs w:val="20"/>
              </w:rPr>
              <w:br/>
            </w: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274" w:rsidRPr="001D3274" w:rsidTr="00415490">
        <w:tc>
          <w:tcPr>
            <w:tcW w:w="10790" w:type="dxa"/>
          </w:tcPr>
          <w:p w:rsidR="001D3274" w:rsidRPr="001D3274" w:rsidRDefault="001D3274" w:rsidP="001D327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3274">
              <w:rPr>
                <w:rFonts w:ascii="Arial" w:hAnsi="Arial" w:cs="Arial"/>
                <w:sz w:val="20"/>
                <w:szCs w:val="20"/>
              </w:rPr>
              <w:t>What is the rate constant at 100</w:t>
            </w:r>
            <w:r w:rsidRPr="001D327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1D3274"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274" w:rsidRPr="001D3274" w:rsidRDefault="001D3274" w:rsidP="004154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15"/>
                    <w:szCs w:val="15"/>
                  </w:rPr>
                  <m:t>ln⁡(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15"/>
                    <w:szCs w:val="15"/>
                  </w:rPr>
                  <m:t>)=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E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Arial"/>
                        <w:sz w:val="15"/>
                        <w:szCs w:val="15"/>
                      </w:rPr>
                      <m:t>R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15"/>
                    <w:szCs w:val="15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Arial"/>
                        <w:sz w:val="15"/>
                        <w:szCs w:val="15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T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15"/>
                    <w:szCs w:val="15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Arial"/>
                        <w:sz w:val="15"/>
                        <w:szCs w:val="15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T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 w:cs="Arial"/>
                    <w:sz w:val="15"/>
                    <w:szCs w:val="15"/>
                  </w:rPr>
                  <m:t>)</m:t>
                </m:r>
              </m:oMath>
            </m:oMathPara>
          </w:p>
        </w:tc>
      </w:tr>
    </w:tbl>
    <w:p w:rsidR="001D3274" w:rsidRPr="001D3274" w:rsidRDefault="001D3274" w:rsidP="001D3274">
      <w:pPr>
        <w:rPr>
          <w:rFonts w:ascii="Arial" w:hAnsi="Arial" w:cs="Arial"/>
          <w:sz w:val="20"/>
          <w:szCs w:val="20"/>
        </w:rPr>
      </w:pPr>
    </w:p>
    <w:p w:rsidR="001D3274" w:rsidRPr="008862DD" w:rsidRDefault="00316D90" w:rsidP="001D32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2251339</wp:posOffset>
                </wp:positionH>
                <wp:positionV relativeFrom="paragraph">
                  <wp:posOffset>2978785</wp:posOffset>
                </wp:positionV>
                <wp:extent cx="172037" cy="172529"/>
                <wp:effectExtent l="0" t="0" r="1905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37" cy="172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6D90" w:rsidRDefault="00316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77.25pt;margin-top:234.55pt;width:13.55pt;height:1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" fillcolor="white [3212]" strokecolor="white [3212]" strokeweight=".5pt">
                <v:textbox>
                  <w:txbxContent>
                    <w:p w:rsidR="00316D90" w:rsidRDefault="00316D90"/>
                  </w:txbxContent>
                </v:textbox>
              </v:shape>
            </w:pict>
          </mc:Fallback>
        </mc:AlternateContent>
      </w:r>
      <w:r w:rsidR="001D327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02B448" wp14:editId="77CB2C68">
            <wp:extent cx="3765852" cy="3238284"/>
            <wp:effectExtent l="0" t="0" r="635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1-30 at 9.38.20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730" cy="326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3274" w:rsidRDefault="001D3274" w:rsidP="00A51D17">
      <w:pPr>
        <w:rPr>
          <w:rFonts w:ascii="Times New Roman" w:hAnsi="Times New Roman" w:cs="Times New Roman"/>
          <w:sz w:val="20"/>
          <w:szCs w:val="20"/>
        </w:rPr>
      </w:pPr>
    </w:p>
    <w:sectPr w:rsidR="001D3274" w:rsidSect="0082082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8F" w:rsidRDefault="00A80D8F" w:rsidP="00DF72E9">
      <w:r>
        <w:separator/>
      </w:r>
    </w:p>
  </w:endnote>
  <w:endnote w:type="continuationSeparator" w:id="0">
    <w:p w:rsidR="00A80D8F" w:rsidRDefault="00A80D8F" w:rsidP="00DF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8F" w:rsidRDefault="00A80D8F" w:rsidP="00DF72E9">
      <w:r>
        <w:separator/>
      </w:r>
    </w:p>
  </w:footnote>
  <w:footnote w:type="continuationSeparator" w:id="0">
    <w:p w:rsidR="00A80D8F" w:rsidRDefault="00A80D8F" w:rsidP="00DF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E9" w:rsidRPr="002D26F4" w:rsidRDefault="00DF72E9" w:rsidP="00DF72E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9B13E9">
      <w:rPr>
        <w:rFonts w:ascii="Arial" w:hAnsi="Arial" w:cs="Arial"/>
        <w:b/>
        <w:bCs/>
      </w:rPr>
      <w:t xml:space="preserve">Kinetics – </w:t>
    </w:r>
    <w:r w:rsidR="001D3274">
      <w:rPr>
        <w:rFonts w:ascii="Arial" w:hAnsi="Arial" w:cs="Arial"/>
        <w:b/>
        <w:bCs/>
      </w:rPr>
      <w:t>More Kinetics Practice</w:t>
    </w:r>
    <w:r w:rsidR="009B13E9">
      <w:rPr>
        <w:rFonts w:ascii="Arial" w:hAnsi="Arial" w:cs="Arial"/>
        <w:b/>
        <w:bCs/>
      </w:rPr>
      <w:t xml:space="preserve"> </w:t>
    </w:r>
  </w:p>
  <w:p w:rsidR="00DF72E9" w:rsidRDefault="00DF7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7E2"/>
    <w:multiLevelType w:val="hybridMultilevel"/>
    <w:tmpl w:val="57C6C6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1C2"/>
    <w:multiLevelType w:val="hybridMultilevel"/>
    <w:tmpl w:val="D55A9C5E"/>
    <w:lvl w:ilvl="0" w:tplc="75A4812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A30DE"/>
    <w:multiLevelType w:val="hybridMultilevel"/>
    <w:tmpl w:val="D34E01D2"/>
    <w:lvl w:ilvl="0" w:tplc="09B254FC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E2932"/>
    <w:multiLevelType w:val="hybridMultilevel"/>
    <w:tmpl w:val="4F583B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2634E"/>
    <w:multiLevelType w:val="hybridMultilevel"/>
    <w:tmpl w:val="DCB48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10A"/>
    <w:multiLevelType w:val="hybridMultilevel"/>
    <w:tmpl w:val="03A0551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2211"/>
    <w:multiLevelType w:val="hybridMultilevel"/>
    <w:tmpl w:val="1C08CADA"/>
    <w:lvl w:ilvl="0" w:tplc="863C323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B6D99"/>
    <w:multiLevelType w:val="hybridMultilevel"/>
    <w:tmpl w:val="4080FDF8"/>
    <w:lvl w:ilvl="0" w:tplc="9F7E4E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4984"/>
    <w:multiLevelType w:val="hybridMultilevel"/>
    <w:tmpl w:val="E3DCFD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D551B"/>
    <w:multiLevelType w:val="hybridMultilevel"/>
    <w:tmpl w:val="5D18B6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6080"/>
    <w:multiLevelType w:val="hybridMultilevel"/>
    <w:tmpl w:val="4490AE6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53A50"/>
    <w:multiLevelType w:val="hybridMultilevel"/>
    <w:tmpl w:val="4CFA7C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E24B57"/>
    <w:multiLevelType w:val="hybridMultilevel"/>
    <w:tmpl w:val="15DAC1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B71F2"/>
    <w:multiLevelType w:val="hybridMultilevel"/>
    <w:tmpl w:val="E500D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D6875"/>
    <w:multiLevelType w:val="hybridMultilevel"/>
    <w:tmpl w:val="4FB0870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B20B5"/>
    <w:multiLevelType w:val="hybridMultilevel"/>
    <w:tmpl w:val="DDF21202"/>
    <w:lvl w:ilvl="0" w:tplc="DBEA5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44E72"/>
    <w:multiLevelType w:val="hybridMultilevel"/>
    <w:tmpl w:val="77FED6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33A5E"/>
    <w:multiLevelType w:val="hybridMultilevel"/>
    <w:tmpl w:val="92B81E8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EB0CCD"/>
    <w:multiLevelType w:val="hybridMultilevel"/>
    <w:tmpl w:val="E500D3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21"/>
  </w:num>
  <w:num w:numId="9">
    <w:abstractNumId w:val="11"/>
  </w:num>
  <w:num w:numId="10">
    <w:abstractNumId w:val="15"/>
  </w:num>
  <w:num w:numId="11">
    <w:abstractNumId w:val="22"/>
  </w:num>
  <w:num w:numId="12">
    <w:abstractNumId w:val="13"/>
  </w:num>
  <w:num w:numId="13">
    <w:abstractNumId w:val="3"/>
  </w:num>
  <w:num w:numId="14">
    <w:abstractNumId w:val="0"/>
  </w:num>
  <w:num w:numId="15">
    <w:abstractNumId w:val="4"/>
  </w:num>
  <w:num w:numId="16">
    <w:abstractNumId w:val="2"/>
  </w:num>
  <w:num w:numId="17">
    <w:abstractNumId w:val="18"/>
  </w:num>
  <w:num w:numId="18">
    <w:abstractNumId w:val="14"/>
  </w:num>
  <w:num w:numId="19">
    <w:abstractNumId w:val="5"/>
  </w:num>
  <w:num w:numId="20">
    <w:abstractNumId w:val="7"/>
  </w:num>
  <w:num w:numId="21">
    <w:abstractNumId w:val="8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E9"/>
    <w:rsid w:val="0003714B"/>
    <w:rsid w:val="00060E43"/>
    <w:rsid w:val="00072159"/>
    <w:rsid w:val="000960DC"/>
    <w:rsid w:val="000A620C"/>
    <w:rsid w:val="000E5DC6"/>
    <w:rsid w:val="001022C6"/>
    <w:rsid w:val="0013379B"/>
    <w:rsid w:val="00157871"/>
    <w:rsid w:val="0018387C"/>
    <w:rsid w:val="00193C5E"/>
    <w:rsid w:val="001B3B72"/>
    <w:rsid w:val="001D3274"/>
    <w:rsid w:val="001D7FFE"/>
    <w:rsid w:val="001E5C4A"/>
    <w:rsid w:val="00230643"/>
    <w:rsid w:val="00243FA5"/>
    <w:rsid w:val="00253688"/>
    <w:rsid w:val="00277856"/>
    <w:rsid w:val="002B4891"/>
    <w:rsid w:val="002F7699"/>
    <w:rsid w:val="00316D90"/>
    <w:rsid w:val="003A2C98"/>
    <w:rsid w:val="003A3F83"/>
    <w:rsid w:val="003D2A3A"/>
    <w:rsid w:val="00445409"/>
    <w:rsid w:val="00456F10"/>
    <w:rsid w:val="004826F7"/>
    <w:rsid w:val="00485A99"/>
    <w:rsid w:val="004A1D1D"/>
    <w:rsid w:val="004A4BE2"/>
    <w:rsid w:val="004E326B"/>
    <w:rsid w:val="00517588"/>
    <w:rsid w:val="005B0DDD"/>
    <w:rsid w:val="005C355D"/>
    <w:rsid w:val="005C7BD6"/>
    <w:rsid w:val="005D1402"/>
    <w:rsid w:val="00614147"/>
    <w:rsid w:val="00627612"/>
    <w:rsid w:val="0066085A"/>
    <w:rsid w:val="00661DC4"/>
    <w:rsid w:val="00671A2D"/>
    <w:rsid w:val="00674A52"/>
    <w:rsid w:val="00681E02"/>
    <w:rsid w:val="0068794D"/>
    <w:rsid w:val="006949AF"/>
    <w:rsid w:val="006B626E"/>
    <w:rsid w:val="006B6E7C"/>
    <w:rsid w:val="006D4A30"/>
    <w:rsid w:val="0070320C"/>
    <w:rsid w:val="00772B69"/>
    <w:rsid w:val="007763AB"/>
    <w:rsid w:val="007F2E1B"/>
    <w:rsid w:val="00811356"/>
    <w:rsid w:val="00816583"/>
    <w:rsid w:val="00820825"/>
    <w:rsid w:val="008766CF"/>
    <w:rsid w:val="00880BA4"/>
    <w:rsid w:val="008C0162"/>
    <w:rsid w:val="008C62CA"/>
    <w:rsid w:val="008C7470"/>
    <w:rsid w:val="008D308D"/>
    <w:rsid w:val="008E1474"/>
    <w:rsid w:val="00916B7B"/>
    <w:rsid w:val="009258B7"/>
    <w:rsid w:val="00955775"/>
    <w:rsid w:val="009A0CB5"/>
    <w:rsid w:val="009B13E9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80D8F"/>
    <w:rsid w:val="00AA29CF"/>
    <w:rsid w:val="00AC5418"/>
    <w:rsid w:val="00AE2A3D"/>
    <w:rsid w:val="00AF5BB1"/>
    <w:rsid w:val="00B47EF4"/>
    <w:rsid w:val="00B53ADE"/>
    <w:rsid w:val="00B95EB0"/>
    <w:rsid w:val="00BE77E8"/>
    <w:rsid w:val="00BF4FC7"/>
    <w:rsid w:val="00BF5801"/>
    <w:rsid w:val="00CA3E4A"/>
    <w:rsid w:val="00CA77D5"/>
    <w:rsid w:val="00CB671B"/>
    <w:rsid w:val="00CD7224"/>
    <w:rsid w:val="00D013DE"/>
    <w:rsid w:val="00DA3235"/>
    <w:rsid w:val="00DD51D6"/>
    <w:rsid w:val="00DE1E56"/>
    <w:rsid w:val="00DF72E9"/>
    <w:rsid w:val="00E03C12"/>
    <w:rsid w:val="00E47F5E"/>
    <w:rsid w:val="00E90ABD"/>
    <w:rsid w:val="00E9309F"/>
    <w:rsid w:val="00E942A8"/>
    <w:rsid w:val="00F01D89"/>
    <w:rsid w:val="00F02007"/>
    <w:rsid w:val="00F13D02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1418D-3DC5-4477-9403-995A6B6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2E9"/>
  </w:style>
  <w:style w:type="paragraph" w:styleId="Footer">
    <w:name w:val="footer"/>
    <w:basedOn w:val="Normal"/>
    <w:link w:val="FooterChar"/>
    <w:uiPriority w:val="99"/>
    <w:unhideWhenUsed/>
    <w:rsid w:val="00DF7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2E9"/>
  </w:style>
  <w:style w:type="paragraph" w:customStyle="1" w:styleId="Default">
    <w:name w:val="Default"/>
    <w:rsid w:val="00DF72E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Files\AP%20CHEM%20-%20For%20Website\3%20AP%20Chemistry%20Units\AP%20Chem%20Worksheet%20Template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 Chem Worksheet Template 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SFarmer</dc:creator>
  <cp:keywords/>
  <dc:description/>
  <cp:lastModifiedBy>Farmer, Stephanie [DH]</cp:lastModifiedBy>
  <cp:revision>3</cp:revision>
  <cp:lastPrinted>2020-05-20T00:35:00Z</cp:lastPrinted>
  <dcterms:created xsi:type="dcterms:W3CDTF">2020-05-20T00:50:00Z</dcterms:created>
  <dcterms:modified xsi:type="dcterms:W3CDTF">2021-10-14T22:47:00Z</dcterms:modified>
</cp:coreProperties>
</file>