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4FFD0D62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95F8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4FFD0D62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95F8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19C36B8" w14:textId="4D0AC3DB" w:rsidR="00017555" w:rsidRPr="005476DE" w:rsidRDefault="00017555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5476DE">
        <w:rPr>
          <w:rFonts w:ascii="Arial" w:hAnsi="Arial" w:cs="Arial"/>
          <w:b/>
          <w:sz w:val="22"/>
          <w:szCs w:val="22"/>
        </w:rPr>
        <w:t xml:space="preserve">Write the definition of </w:t>
      </w:r>
      <w:r>
        <w:rPr>
          <w:rFonts w:ascii="Arial" w:hAnsi="Arial" w:cs="Arial"/>
          <w:b/>
          <w:sz w:val="22"/>
          <w:szCs w:val="22"/>
        </w:rPr>
        <w:t>each term</w:t>
      </w:r>
      <w:r w:rsidRPr="005476DE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017555" w14:paraId="64185669" w14:textId="77777777" w:rsidTr="00017555"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30EBE8BE" w14:textId="578C628C" w:rsidR="00017555" w:rsidRPr="005476DE" w:rsidRDefault="00017555" w:rsidP="008E12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Solute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14:paraId="654C87D4" w14:textId="6AE8F4A2" w:rsidR="00017555" w:rsidRPr="005476DE" w:rsidRDefault="00017555" w:rsidP="008E12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Solvent</w:t>
            </w:r>
          </w:p>
        </w:tc>
        <w:tc>
          <w:tcPr>
            <w:tcW w:w="3599" w:type="dxa"/>
            <w:shd w:val="clear" w:color="auto" w:fill="D9D9D9" w:themeFill="background1" w:themeFillShade="D9"/>
            <w:vAlign w:val="center"/>
          </w:tcPr>
          <w:p w14:paraId="4403C2CE" w14:textId="18543729" w:rsidR="00017555" w:rsidRPr="005476DE" w:rsidRDefault="00017555" w:rsidP="008E12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Solution</w:t>
            </w:r>
          </w:p>
        </w:tc>
      </w:tr>
      <w:tr w:rsidR="00017555" w14:paraId="338E80A3" w14:textId="77777777" w:rsidTr="00017555">
        <w:trPr>
          <w:trHeight w:val="1584"/>
        </w:trPr>
        <w:tc>
          <w:tcPr>
            <w:tcW w:w="3598" w:type="dxa"/>
          </w:tcPr>
          <w:p w14:paraId="14B7F867" w14:textId="77777777" w:rsidR="00017555" w:rsidRDefault="00017555" w:rsidP="008E1213"/>
        </w:tc>
        <w:tc>
          <w:tcPr>
            <w:tcW w:w="3598" w:type="dxa"/>
          </w:tcPr>
          <w:p w14:paraId="70C13D5D" w14:textId="77777777" w:rsidR="00017555" w:rsidRDefault="00017555" w:rsidP="008E1213"/>
        </w:tc>
        <w:tc>
          <w:tcPr>
            <w:tcW w:w="3599" w:type="dxa"/>
          </w:tcPr>
          <w:p w14:paraId="405C1099" w14:textId="77777777" w:rsidR="00017555" w:rsidRDefault="00017555" w:rsidP="008E1213"/>
        </w:tc>
      </w:tr>
    </w:tbl>
    <w:p w14:paraId="16CDA4AF" w14:textId="77777777" w:rsidR="00017555" w:rsidRDefault="00017555" w:rsidP="005476DE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5AD84AF" w14:textId="222C4130" w:rsidR="000824F0" w:rsidRPr="005476DE" w:rsidRDefault="005476DE" w:rsidP="005476DE">
      <w:pPr>
        <w:pStyle w:val="NoSpacing"/>
        <w:rPr>
          <w:rFonts w:ascii="Arial" w:hAnsi="Arial" w:cs="Arial"/>
          <w:b/>
          <w:sz w:val="22"/>
          <w:szCs w:val="22"/>
        </w:rPr>
      </w:pPr>
      <w:r w:rsidRPr="005476DE">
        <w:rPr>
          <w:rFonts w:ascii="Arial" w:hAnsi="Arial" w:cs="Arial"/>
          <w:b/>
          <w:sz w:val="22"/>
          <w:szCs w:val="22"/>
        </w:rPr>
        <w:t>Write the definition of each concentration in terms of solute, solvent, and/or 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476DE" w14:paraId="6962F792" w14:textId="77777777" w:rsidTr="005476DE"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04E03CD4" w14:textId="296CCC9D" w:rsidR="005476DE" w:rsidRPr="005476DE" w:rsidRDefault="005476DE" w:rsidP="005476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Molarity (M)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298A525B" w14:textId="43DED4C1" w:rsidR="005476DE" w:rsidRPr="005476DE" w:rsidRDefault="005476DE" w:rsidP="005476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Molality (m)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A862F85" w14:textId="3B268C0A" w:rsidR="005476DE" w:rsidRPr="005476DE" w:rsidRDefault="005476DE" w:rsidP="005476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 xml:space="preserve">Mole Fraction </w:t>
            </w:r>
            <w:r w:rsidRPr="005476DE">
              <w:rPr>
                <w:rFonts w:ascii="Arial" w:hAnsi="Arial" w:cs="Arial"/>
                <w:sz w:val="20"/>
              </w:rPr>
              <w:t>(</w:t>
            </w:r>
            <w:r w:rsidRPr="005476DE">
              <w:rPr>
                <w:rFonts w:ascii="Arial" w:hAnsi="Arial" w:cs="Arial"/>
                <w:sz w:val="20"/>
              </w:rPr>
              <w:sym w:font="Symbol" w:char="F063"/>
            </w:r>
            <w:r w:rsidRPr="005476D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48D9DF93" w14:textId="59DDEB34" w:rsidR="005476DE" w:rsidRPr="005476DE" w:rsidRDefault="005476DE" w:rsidP="005476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Weight Percent (%)</w:t>
            </w:r>
          </w:p>
        </w:tc>
      </w:tr>
      <w:tr w:rsidR="005476DE" w14:paraId="64BA3844" w14:textId="77777777" w:rsidTr="00017555">
        <w:trPr>
          <w:trHeight w:val="1584"/>
        </w:trPr>
        <w:tc>
          <w:tcPr>
            <w:tcW w:w="2697" w:type="dxa"/>
          </w:tcPr>
          <w:p w14:paraId="14C08ED5" w14:textId="77777777" w:rsidR="005476DE" w:rsidRDefault="005476DE"/>
        </w:tc>
        <w:tc>
          <w:tcPr>
            <w:tcW w:w="2697" w:type="dxa"/>
          </w:tcPr>
          <w:p w14:paraId="3A343F58" w14:textId="77777777" w:rsidR="005476DE" w:rsidRDefault="005476DE"/>
        </w:tc>
        <w:tc>
          <w:tcPr>
            <w:tcW w:w="2698" w:type="dxa"/>
          </w:tcPr>
          <w:p w14:paraId="016EF521" w14:textId="77777777" w:rsidR="005476DE" w:rsidRDefault="005476DE"/>
        </w:tc>
        <w:tc>
          <w:tcPr>
            <w:tcW w:w="2698" w:type="dxa"/>
          </w:tcPr>
          <w:p w14:paraId="18BEA485" w14:textId="77777777" w:rsidR="005476DE" w:rsidRDefault="005476DE"/>
        </w:tc>
      </w:tr>
    </w:tbl>
    <w:p w14:paraId="066C988A" w14:textId="75AFA02B" w:rsidR="000824F0" w:rsidRDefault="000824F0"/>
    <w:p w14:paraId="6DA082E9" w14:textId="01B5A703" w:rsidR="005476DE" w:rsidRPr="005476DE" w:rsidRDefault="005476DE">
      <w:pPr>
        <w:rPr>
          <w:rFonts w:ascii="Arial" w:hAnsi="Arial" w:cs="Arial"/>
          <w:b/>
          <w:sz w:val="22"/>
        </w:rPr>
      </w:pPr>
      <w:r w:rsidRPr="005476DE">
        <w:rPr>
          <w:rFonts w:ascii="Arial" w:hAnsi="Arial" w:cs="Arial"/>
          <w:b/>
          <w:sz w:val="22"/>
        </w:rPr>
        <w:t>Each of these concentrations involves grams or moles of solute, solvent, or solution. Determine those values</w:t>
      </w:r>
      <w:r>
        <w:rPr>
          <w:rFonts w:ascii="Arial" w:hAnsi="Arial" w:cs="Arial"/>
          <w:b/>
          <w:sz w:val="22"/>
        </w:rPr>
        <w:t xml:space="preserve"> based on the information at the top of the chart</w:t>
      </w:r>
      <w:r w:rsidRPr="005476DE">
        <w:rPr>
          <w:rFonts w:ascii="Arial" w:hAnsi="Arial" w:cs="Arial"/>
          <w:b/>
          <w:sz w:val="22"/>
        </w:rPr>
        <w:t xml:space="preserve">.  In the left hand column write the equation that you will use to solve the problem. In the right column show all your 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5476DE" w:rsidRPr="005476DE" w14:paraId="1DC18461" w14:textId="77777777" w:rsidTr="005476DE">
        <w:trPr>
          <w:trHeight w:val="576"/>
        </w:trPr>
        <w:tc>
          <w:tcPr>
            <w:tcW w:w="10790" w:type="dxa"/>
            <w:gridSpan w:val="2"/>
            <w:vAlign w:val="center"/>
          </w:tcPr>
          <w:p w14:paraId="28D21021" w14:textId="47259B8A" w:rsidR="005476DE" w:rsidRPr="005476DE" w:rsidRDefault="005476DE" w:rsidP="005476DE">
            <w:p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2"/>
              </w:rPr>
              <w:t>Assume you dissolve 2.56 g of malic acid, C</w:t>
            </w:r>
            <w:r w:rsidRPr="005476DE">
              <w:rPr>
                <w:rFonts w:ascii="Arial" w:hAnsi="Arial" w:cs="Arial"/>
                <w:sz w:val="22"/>
                <w:vertAlign w:val="subscript"/>
              </w:rPr>
              <w:t>4</w:t>
            </w:r>
            <w:r w:rsidRPr="005476DE">
              <w:rPr>
                <w:rFonts w:ascii="Arial" w:hAnsi="Arial" w:cs="Arial"/>
                <w:sz w:val="22"/>
              </w:rPr>
              <w:t>H</w:t>
            </w:r>
            <w:r w:rsidRPr="005476DE">
              <w:rPr>
                <w:rFonts w:ascii="Arial" w:hAnsi="Arial" w:cs="Arial"/>
                <w:sz w:val="22"/>
                <w:vertAlign w:val="subscript"/>
              </w:rPr>
              <w:t>6</w:t>
            </w:r>
            <w:r w:rsidRPr="005476DE">
              <w:rPr>
                <w:rFonts w:ascii="Arial" w:hAnsi="Arial" w:cs="Arial"/>
                <w:sz w:val="22"/>
              </w:rPr>
              <w:t>O</w:t>
            </w:r>
            <w:r w:rsidRPr="005476DE">
              <w:rPr>
                <w:rFonts w:ascii="Arial" w:hAnsi="Arial" w:cs="Arial"/>
                <w:sz w:val="22"/>
                <w:vertAlign w:val="subscript"/>
              </w:rPr>
              <w:t>5</w:t>
            </w:r>
            <w:r w:rsidRPr="005476DE">
              <w:rPr>
                <w:rFonts w:ascii="Arial" w:hAnsi="Arial" w:cs="Arial"/>
                <w:sz w:val="22"/>
              </w:rPr>
              <w:t xml:space="preserve">, in half a liter of water (500.0 g). </w:t>
            </w:r>
          </w:p>
        </w:tc>
      </w:tr>
      <w:tr w:rsidR="005476DE" w:rsidRPr="005476DE" w14:paraId="53DB480D" w14:textId="77777777" w:rsidTr="005476DE">
        <w:tc>
          <w:tcPr>
            <w:tcW w:w="3865" w:type="dxa"/>
            <w:shd w:val="clear" w:color="auto" w:fill="D9D9D9" w:themeFill="background1" w:themeFillShade="D9"/>
          </w:tcPr>
          <w:p w14:paraId="4FBFA30C" w14:textId="2E124494" w:rsidR="005476DE" w:rsidRPr="005476DE" w:rsidRDefault="005476DE" w:rsidP="005476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476DE">
              <w:rPr>
                <w:rFonts w:ascii="Arial" w:hAnsi="Arial" w:cs="Arial"/>
                <w:b/>
                <w:sz w:val="20"/>
              </w:rPr>
              <w:t>Equation to be used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14:paraId="05DEEA9D" w14:textId="30010A18" w:rsidR="005476DE" w:rsidRPr="005476DE" w:rsidRDefault="005476DE" w:rsidP="005476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476DE">
              <w:rPr>
                <w:rFonts w:ascii="Arial" w:hAnsi="Arial" w:cs="Arial"/>
                <w:b/>
                <w:sz w:val="20"/>
              </w:rPr>
              <w:t>Work and answer</w:t>
            </w:r>
          </w:p>
        </w:tc>
      </w:tr>
      <w:tr w:rsidR="005476DE" w14:paraId="12CED9FE" w14:textId="77777777" w:rsidTr="00017555">
        <w:trPr>
          <w:trHeight w:val="1584"/>
        </w:trPr>
        <w:tc>
          <w:tcPr>
            <w:tcW w:w="3865" w:type="dxa"/>
          </w:tcPr>
          <w:p w14:paraId="0DB93CF3" w14:textId="4E84B5A4" w:rsidR="005476DE" w:rsidRPr="005476DE" w:rsidRDefault="005476DE" w:rsidP="005476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Molarity of acid in solution</w:t>
            </w:r>
          </w:p>
        </w:tc>
        <w:tc>
          <w:tcPr>
            <w:tcW w:w="6925" w:type="dxa"/>
          </w:tcPr>
          <w:p w14:paraId="1663EEDA" w14:textId="77777777" w:rsidR="005476DE" w:rsidRDefault="005476DE">
            <w:pPr>
              <w:rPr>
                <w:rFonts w:ascii="Arial" w:hAnsi="Arial" w:cs="Arial"/>
                <w:b/>
              </w:rPr>
            </w:pPr>
          </w:p>
        </w:tc>
      </w:tr>
      <w:tr w:rsidR="005476DE" w14:paraId="0E4C015C" w14:textId="77777777" w:rsidTr="00017555">
        <w:trPr>
          <w:trHeight w:val="1584"/>
        </w:trPr>
        <w:tc>
          <w:tcPr>
            <w:tcW w:w="3865" w:type="dxa"/>
          </w:tcPr>
          <w:p w14:paraId="248DB2FA" w14:textId="05C324D2" w:rsidR="005476DE" w:rsidRPr="005476DE" w:rsidRDefault="005476DE" w:rsidP="005476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Molality of acid in solution</w:t>
            </w:r>
          </w:p>
        </w:tc>
        <w:tc>
          <w:tcPr>
            <w:tcW w:w="6925" w:type="dxa"/>
          </w:tcPr>
          <w:p w14:paraId="6B17E228" w14:textId="77777777" w:rsidR="005476DE" w:rsidRDefault="005476DE">
            <w:pPr>
              <w:rPr>
                <w:rFonts w:ascii="Arial" w:hAnsi="Arial" w:cs="Arial"/>
                <w:b/>
              </w:rPr>
            </w:pPr>
          </w:p>
        </w:tc>
      </w:tr>
      <w:tr w:rsidR="005476DE" w14:paraId="2D3541E7" w14:textId="77777777" w:rsidTr="00017555">
        <w:trPr>
          <w:trHeight w:val="1584"/>
        </w:trPr>
        <w:tc>
          <w:tcPr>
            <w:tcW w:w="3865" w:type="dxa"/>
          </w:tcPr>
          <w:p w14:paraId="14DCDE65" w14:textId="2A2CB9D5" w:rsidR="005476DE" w:rsidRPr="005476DE" w:rsidRDefault="005476DE" w:rsidP="005476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Mole fraction of acid in solution</w:t>
            </w:r>
          </w:p>
        </w:tc>
        <w:tc>
          <w:tcPr>
            <w:tcW w:w="6925" w:type="dxa"/>
          </w:tcPr>
          <w:p w14:paraId="784C9677" w14:textId="77777777" w:rsidR="005476DE" w:rsidRDefault="005476DE">
            <w:pPr>
              <w:rPr>
                <w:rFonts w:ascii="Arial" w:hAnsi="Arial" w:cs="Arial"/>
                <w:b/>
              </w:rPr>
            </w:pPr>
          </w:p>
        </w:tc>
      </w:tr>
      <w:tr w:rsidR="005476DE" w14:paraId="4468AF36" w14:textId="77777777" w:rsidTr="00017555">
        <w:trPr>
          <w:trHeight w:val="1584"/>
        </w:trPr>
        <w:tc>
          <w:tcPr>
            <w:tcW w:w="3865" w:type="dxa"/>
          </w:tcPr>
          <w:p w14:paraId="6F2DF955" w14:textId="6B68E23D" w:rsidR="005476DE" w:rsidRPr="005476DE" w:rsidRDefault="005476DE" w:rsidP="005476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5476DE">
              <w:rPr>
                <w:rFonts w:ascii="Arial" w:hAnsi="Arial" w:cs="Arial"/>
                <w:sz w:val="20"/>
              </w:rPr>
              <w:t>Weight percentage of acid in solution</w:t>
            </w:r>
          </w:p>
        </w:tc>
        <w:tc>
          <w:tcPr>
            <w:tcW w:w="6925" w:type="dxa"/>
          </w:tcPr>
          <w:p w14:paraId="51C3177B" w14:textId="77777777" w:rsidR="005476DE" w:rsidRDefault="005476DE">
            <w:pPr>
              <w:rPr>
                <w:rFonts w:ascii="Arial" w:hAnsi="Arial" w:cs="Arial"/>
                <w:b/>
              </w:rPr>
            </w:pPr>
          </w:p>
        </w:tc>
      </w:tr>
    </w:tbl>
    <w:p w14:paraId="090AF82E" w14:textId="5C9CD642" w:rsidR="005476DE" w:rsidRPr="005476DE" w:rsidRDefault="005476DE">
      <w:pPr>
        <w:rPr>
          <w:rFonts w:ascii="Arial" w:hAnsi="Arial" w:cs="Arial"/>
          <w:b/>
          <w:sz w:val="22"/>
        </w:rPr>
      </w:pPr>
      <w:r w:rsidRPr="005476DE">
        <w:rPr>
          <w:rFonts w:ascii="Arial" w:hAnsi="Arial" w:cs="Arial"/>
          <w:b/>
          <w:sz w:val="22"/>
        </w:rPr>
        <w:lastRenderedPageBreak/>
        <w:t xml:space="preserve">Fill in the blanks in the table. Aqueous solutions are assumed. Show all 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3168"/>
        <w:gridCol w:w="3169"/>
        <w:gridCol w:w="3169"/>
      </w:tblGrid>
      <w:tr w:rsidR="005476DE" w:rsidRPr="005476DE" w14:paraId="03052ACA" w14:textId="77777777" w:rsidTr="00017555">
        <w:trPr>
          <w:trHeight w:val="224"/>
        </w:trPr>
        <w:tc>
          <w:tcPr>
            <w:tcW w:w="1284" w:type="dxa"/>
            <w:shd w:val="clear" w:color="auto" w:fill="D9D9D9" w:themeFill="background1" w:themeFillShade="D9"/>
          </w:tcPr>
          <w:p w14:paraId="23DF805C" w14:textId="11F46D7D" w:rsidR="005476DE" w:rsidRPr="005476DE" w:rsidRDefault="005476DE" w:rsidP="005476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476DE">
              <w:rPr>
                <w:rFonts w:ascii="Arial" w:hAnsi="Arial" w:cs="Arial"/>
                <w:b/>
                <w:sz w:val="20"/>
              </w:rPr>
              <w:t>Compound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504C1FE3" w14:textId="490CD144" w:rsidR="005476DE" w:rsidRPr="005476DE" w:rsidRDefault="005476DE" w:rsidP="0001755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476DE">
              <w:rPr>
                <w:rFonts w:ascii="Arial" w:hAnsi="Arial" w:cs="Arial"/>
                <w:b/>
                <w:sz w:val="20"/>
              </w:rPr>
              <w:t>Molarity</w:t>
            </w:r>
          </w:p>
        </w:tc>
        <w:tc>
          <w:tcPr>
            <w:tcW w:w="3169" w:type="dxa"/>
            <w:shd w:val="clear" w:color="auto" w:fill="D9D9D9" w:themeFill="background1" w:themeFillShade="D9"/>
            <w:vAlign w:val="center"/>
          </w:tcPr>
          <w:p w14:paraId="137038D6" w14:textId="4F4AEE23" w:rsidR="005476DE" w:rsidRPr="005476DE" w:rsidRDefault="005476DE" w:rsidP="0001755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476DE">
              <w:rPr>
                <w:rFonts w:ascii="Arial" w:hAnsi="Arial" w:cs="Arial"/>
                <w:b/>
                <w:sz w:val="20"/>
              </w:rPr>
              <w:t>Weight Percent</w:t>
            </w:r>
          </w:p>
        </w:tc>
        <w:tc>
          <w:tcPr>
            <w:tcW w:w="3169" w:type="dxa"/>
            <w:shd w:val="clear" w:color="auto" w:fill="D9D9D9" w:themeFill="background1" w:themeFillShade="D9"/>
            <w:vAlign w:val="center"/>
          </w:tcPr>
          <w:p w14:paraId="53411666" w14:textId="04A80EBB" w:rsidR="005476DE" w:rsidRPr="005476DE" w:rsidRDefault="005476DE" w:rsidP="0001755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476DE">
              <w:rPr>
                <w:rFonts w:ascii="Arial" w:hAnsi="Arial" w:cs="Arial"/>
                <w:b/>
                <w:sz w:val="20"/>
              </w:rPr>
              <w:t>Mole Fraction</w:t>
            </w:r>
          </w:p>
        </w:tc>
      </w:tr>
      <w:tr w:rsidR="005476DE" w14:paraId="0115113F" w14:textId="77777777" w:rsidTr="00017555">
        <w:trPr>
          <w:trHeight w:val="2160"/>
        </w:trPr>
        <w:tc>
          <w:tcPr>
            <w:tcW w:w="1284" w:type="dxa"/>
            <w:vAlign w:val="center"/>
          </w:tcPr>
          <w:p w14:paraId="784731CA" w14:textId="32035543" w:rsidR="005476DE" w:rsidRPr="005476DE" w:rsidRDefault="005476DE" w:rsidP="00017555">
            <w:pPr>
              <w:jc w:val="center"/>
              <w:rPr>
                <w:rFonts w:ascii="Arial" w:hAnsi="Arial" w:cs="Arial"/>
              </w:rPr>
            </w:pPr>
            <w:proofErr w:type="spellStart"/>
            <w:r w:rsidRPr="005476DE">
              <w:rPr>
                <w:rFonts w:ascii="Arial" w:hAnsi="Arial" w:cs="Arial"/>
              </w:rPr>
              <w:t>NaI</w:t>
            </w:r>
            <w:proofErr w:type="spellEnd"/>
          </w:p>
        </w:tc>
        <w:tc>
          <w:tcPr>
            <w:tcW w:w="3168" w:type="dxa"/>
            <w:vAlign w:val="center"/>
          </w:tcPr>
          <w:p w14:paraId="5E4E0B3E" w14:textId="37F9121D" w:rsidR="005476DE" w:rsidRPr="00017555" w:rsidRDefault="005476DE" w:rsidP="00017555">
            <w:pPr>
              <w:jc w:val="center"/>
              <w:rPr>
                <w:rFonts w:ascii="Arial" w:hAnsi="Arial" w:cs="Arial"/>
                <w:sz w:val="32"/>
              </w:rPr>
            </w:pPr>
            <w:r w:rsidRPr="00017555">
              <w:rPr>
                <w:rFonts w:ascii="Arial" w:hAnsi="Arial" w:cs="Arial"/>
                <w:sz w:val="32"/>
              </w:rPr>
              <w:t>0.15</w:t>
            </w:r>
          </w:p>
        </w:tc>
        <w:tc>
          <w:tcPr>
            <w:tcW w:w="3169" w:type="dxa"/>
            <w:vAlign w:val="center"/>
          </w:tcPr>
          <w:p w14:paraId="731239D7" w14:textId="77777777" w:rsidR="005476DE" w:rsidRPr="00017555" w:rsidRDefault="005476DE" w:rsidP="0001755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69" w:type="dxa"/>
            <w:vAlign w:val="center"/>
          </w:tcPr>
          <w:p w14:paraId="1D41D1A9" w14:textId="77777777" w:rsidR="005476DE" w:rsidRPr="00017555" w:rsidRDefault="005476DE" w:rsidP="00017555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5476DE" w14:paraId="1D390010" w14:textId="77777777" w:rsidTr="00017555">
        <w:trPr>
          <w:trHeight w:val="2160"/>
        </w:trPr>
        <w:tc>
          <w:tcPr>
            <w:tcW w:w="1284" w:type="dxa"/>
            <w:vAlign w:val="center"/>
          </w:tcPr>
          <w:p w14:paraId="204350FD" w14:textId="4AC8817F" w:rsidR="005476DE" w:rsidRPr="005476DE" w:rsidRDefault="005476DE" w:rsidP="00017555">
            <w:pPr>
              <w:jc w:val="center"/>
              <w:rPr>
                <w:rFonts w:ascii="Arial" w:hAnsi="Arial" w:cs="Arial"/>
              </w:rPr>
            </w:pPr>
            <w:r w:rsidRPr="005476DE">
              <w:rPr>
                <w:rFonts w:ascii="Arial" w:hAnsi="Arial" w:cs="Arial"/>
              </w:rPr>
              <w:t>C</w:t>
            </w:r>
            <w:r w:rsidRPr="005476DE">
              <w:rPr>
                <w:rFonts w:ascii="Arial" w:hAnsi="Arial" w:cs="Arial"/>
                <w:vertAlign w:val="subscript"/>
              </w:rPr>
              <w:t>2</w:t>
            </w:r>
            <w:r w:rsidRPr="005476DE">
              <w:rPr>
                <w:rFonts w:ascii="Arial" w:hAnsi="Arial" w:cs="Arial"/>
              </w:rPr>
              <w:t>H</w:t>
            </w:r>
            <w:r w:rsidRPr="005476DE">
              <w:rPr>
                <w:rFonts w:ascii="Arial" w:hAnsi="Arial" w:cs="Arial"/>
                <w:vertAlign w:val="subscript"/>
              </w:rPr>
              <w:t>4</w:t>
            </w:r>
            <w:r w:rsidRPr="005476DE">
              <w:rPr>
                <w:rFonts w:ascii="Arial" w:hAnsi="Arial" w:cs="Arial"/>
              </w:rPr>
              <w:t>OH</w:t>
            </w:r>
          </w:p>
        </w:tc>
        <w:tc>
          <w:tcPr>
            <w:tcW w:w="3168" w:type="dxa"/>
            <w:vAlign w:val="center"/>
          </w:tcPr>
          <w:p w14:paraId="5186CF1B" w14:textId="77777777" w:rsidR="005476DE" w:rsidRPr="00017555" w:rsidRDefault="005476DE" w:rsidP="0001755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69" w:type="dxa"/>
            <w:vAlign w:val="center"/>
          </w:tcPr>
          <w:p w14:paraId="3BC411F1" w14:textId="4A46B653" w:rsidR="005476DE" w:rsidRPr="00017555" w:rsidRDefault="005476DE" w:rsidP="00017555">
            <w:pPr>
              <w:jc w:val="center"/>
              <w:rPr>
                <w:rFonts w:ascii="Arial" w:hAnsi="Arial" w:cs="Arial"/>
                <w:sz w:val="32"/>
              </w:rPr>
            </w:pPr>
            <w:r w:rsidRPr="00017555">
              <w:rPr>
                <w:rFonts w:ascii="Arial" w:hAnsi="Arial" w:cs="Arial"/>
                <w:sz w:val="32"/>
              </w:rPr>
              <w:t>5.0</w:t>
            </w:r>
          </w:p>
        </w:tc>
        <w:tc>
          <w:tcPr>
            <w:tcW w:w="3169" w:type="dxa"/>
            <w:vAlign w:val="center"/>
          </w:tcPr>
          <w:p w14:paraId="6BF12583" w14:textId="77777777" w:rsidR="005476DE" w:rsidRPr="00017555" w:rsidRDefault="005476DE" w:rsidP="00017555">
            <w:pPr>
              <w:jc w:val="center"/>
              <w:rPr>
                <w:rFonts w:ascii="Arial" w:hAnsi="Arial" w:cs="Arial"/>
                <w:sz w:val="32"/>
              </w:rPr>
            </w:pPr>
            <w:bookmarkStart w:id="0" w:name="_GoBack"/>
            <w:bookmarkEnd w:id="0"/>
          </w:p>
        </w:tc>
      </w:tr>
      <w:tr w:rsidR="005476DE" w14:paraId="78BCEFB2" w14:textId="77777777" w:rsidTr="00017555">
        <w:trPr>
          <w:trHeight w:val="2160"/>
        </w:trPr>
        <w:tc>
          <w:tcPr>
            <w:tcW w:w="1284" w:type="dxa"/>
            <w:vAlign w:val="center"/>
          </w:tcPr>
          <w:p w14:paraId="2EC427D3" w14:textId="11E7769A" w:rsidR="005476DE" w:rsidRPr="005476DE" w:rsidRDefault="005476DE" w:rsidP="00017555">
            <w:pPr>
              <w:jc w:val="center"/>
              <w:rPr>
                <w:rFonts w:ascii="Arial" w:hAnsi="Arial" w:cs="Arial"/>
              </w:rPr>
            </w:pPr>
            <w:r w:rsidRPr="005476DE">
              <w:rPr>
                <w:rFonts w:ascii="Arial" w:hAnsi="Arial" w:cs="Arial"/>
              </w:rPr>
              <w:t>C</w:t>
            </w:r>
            <w:r w:rsidRPr="005476DE">
              <w:rPr>
                <w:rFonts w:ascii="Arial" w:hAnsi="Arial" w:cs="Arial"/>
                <w:vertAlign w:val="subscript"/>
              </w:rPr>
              <w:t>12</w:t>
            </w:r>
            <w:r w:rsidRPr="005476DE">
              <w:rPr>
                <w:rFonts w:ascii="Arial" w:hAnsi="Arial" w:cs="Arial"/>
              </w:rPr>
              <w:t>H</w:t>
            </w:r>
            <w:r w:rsidRPr="005476DE">
              <w:rPr>
                <w:rFonts w:ascii="Arial" w:hAnsi="Arial" w:cs="Arial"/>
                <w:vertAlign w:val="subscript"/>
              </w:rPr>
              <w:t>22</w:t>
            </w:r>
            <w:r w:rsidRPr="005476DE">
              <w:rPr>
                <w:rFonts w:ascii="Arial" w:hAnsi="Arial" w:cs="Arial"/>
              </w:rPr>
              <w:t>O</w:t>
            </w:r>
            <w:r w:rsidRPr="005476DE">
              <w:rPr>
                <w:rFonts w:ascii="Arial" w:hAnsi="Arial" w:cs="Arial"/>
                <w:vertAlign w:val="subscript"/>
              </w:rPr>
              <w:t>11</w:t>
            </w:r>
          </w:p>
        </w:tc>
        <w:tc>
          <w:tcPr>
            <w:tcW w:w="3168" w:type="dxa"/>
            <w:vAlign w:val="center"/>
          </w:tcPr>
          <w:p w14:paraId="3638A477" w14:textId="5DDBC0E2" w:rsidR="005476DE" w:rsidRPr="00017555" w:rsidRDefault="005476DE" w:rsidP="00017555">
            <w:pPr>
              <w:jc w:val="center"/>
              <w:rPr>
                <w:rFonts w:ascii="Arial" w:hAnsi="Arial" w:cs="Arial"/>
                <w:sz w:val="32"/>
              </w:rPr>
            </w:pPr>
            <w:r w:rsidRPr="00017555">
              <w:rPr>
                <w:rFonts w:ascii="Arial" w:hAnsi="Arial" w:cs="Arial"/>
                <w:sz w:val="32"/>
              </w:rPr>
              <w:t>0.15</w:t>
            </w:r>
          </w:p>
        </w:tc>
        <w:tc>
          <w:tcPr>
            <w:tcW w:w="3169" w:type="dxa"/>
            <w:vAlign w:val="center"/>
          </w:tcPr>
          <w:p w14:paraId="360A48C4" w14:textId="77777777" w:rsidR="005476DE" w:rsidRPr="00017555" w:rsidRDefault="005476DE" w:rsidP="0001755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69" w:type="dxa"/>
            <w:vAlign w:val="center"/>
          </w:tcPr>
          <w:p w14:paraId="43965162" w14:textId="77777777" w:rsidR="005476DE" w:rsidRPr="00017555" w:rsidRDefault="005476DE" w:rsidP="00017555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07D48389" w14:textId="77777777" w:rsidR="005476DE" w:rsidRDefault="005476DE">
      <w:pPr>
        <w:rPr>
          <w:rFonts w:ascii="Arial" w:hAnsi="Arial" w:cs="Arial"/>
          <w:b/>
        </w:rPr>
      </w:pPr>
    </w:p>
    <w:p w14:paraId="140BA23E" w14:textId="77777777" w:rsidR="005476DE" w:rsidRPr="005476DE" w:rsidRDefault="005476DE">
      <w:pPr>
        <w:rPr>
          <w:rFonts w:ascii="Arial" w:hAnsi="Arial" w:cs="Arial"/>
          <w:b/>
        </w:rPr>
      </w:pPr>
    </w:p>
    <w:sectPr w:rsidR="005476DE" w:rsidRPr="005476DE" w:rsidSect="00C86138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E72B1" w14:textId="77777777" w:rsidR="0061261E" w:rsidRDefault="0061261E" w:rsidP="00C86138">
      <w:r>
        <w:separator/>
      </w:r>
    </w:p>
  </w:endnote>
  <w:endnote w:type="continuationSeparator" w:id="0">
    <w:p w14:paraId="3E5029C4" w14:textId="77777777" w:rsidR="0061261E" w:rsidRDefault="0061261E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20EEA" w14:textId="77777777" w:rsidR="0061261E" w:rsidRDefault="0061261E" w:rsidP="00C86138">
      <w:r>
        <w:separator/>
      </w:r>
    </w:p>
  </w:footnote>
  <w:footnote w:type="continuationSeparator" w:id="0">
    <w:p w14:paraId="1FC88454" w14:textId="77777777" w:rsidR="0061261E" w:rsidRDefault="0061261E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2632CCBF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195F84">
      <w:rPr>
        <w:rFonts w:ascii="Arial" w:hAnsi="Arial" w:cs="Arial"/>
        <w:b/>
        <w:bCs/>
      </w:rPr>
      <w:t>Solutions</w:t>
    </w:r>
    <w:r w:rsidR="00ED3C60">
      <w:rPr>
        <w:rFonts w:ascii="Arial" w:hAnsi="Arial" w:cs="Arial"/>
        <w:b/>
        <w:bCs/>
      </w:rPr>
      <w:t xml:space="preserve"> – </w:t>
    </w:r>
    <w:r w:rsidR="00195F84">
      <w:rPr>
        <w:rFonts w:ascii="Arial" w:hAnsi="Arial" w:cs="Arial"/>
        <w:b/>
        <w:bCs/>
      </w:rPr>
      <w:t>Concentration Practice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95F84"/>
    <w:rsid w:val="001B086E"/>
    <w:rsid w:val="001B2A2D"/>
    <w:rsid w:val="001B31FB"/>
    <w:rsid w:val="00243EB8"/>
    <w:rsid w:val="00251198"/>
    <w:rsid w:val="0026403D"/>
    <w:rsid w:val="002B7B55"/>
    <w:rsid w:val="00346B05"/>
    <w:rsid w:val="00353D95"/>
    <w:rsid w:val="003E0157"/>
    <w:rsid w:val="003F1219"/>
    <w:rsid w:val="00406E80"/>
    <w:rsid w:val="004534FD"/>
    <w:rsid w:val="00522AC9"/>
    <w:rsid w:val="00524548"/>
    <w:rsid w:val="005476DE"/>
    <w:rsid w:val="00573CB2"/>
    <w:rsid w:val="0061261E"/>
    <w:rsid w:val="006545D6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A21541"/>
    <w:rsid w:val="00A979B3"/>
    <w:rsid w:val="00B46CDC"/>
    <w:rsid w:val="00B55F3F"/>
    <w:rsid w:val="00B60899"/>
    <w:rsid w:val="00B753BA"/>
    <w:rsid w:val="00B85B03"/>
    <w:rsid w:val="00C121BD"/>
    <w:rsid w:val="00C22160"/>
    <w:rsid w:val="00C86138"/>
    <w:rsid w:val="00D017CF"/>
    <w:rsid w:val="00D35FDB"/>
    <w:rsid w:val="00DA3903"/>
    <w:rsid w:val="00E536CF"/>
    <w:rsid w:val="00E620DA"/>
    <w:rsid w:val="00EB6F49"/>
    <w:rsid w:val="00ED3C60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4B79-D3F3-4814-95F2-28344C27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2021-06-11T02:22:00Z</cp:lastPrinted>
  <dcterms:created xsi:type="dcterms:W3CDTF">2021-06-11T15:22:00Z</dcterms:created>
  <dcterms:modified xsi:type="dcterms:W3CDTF">2021-06-11T15:22:00Z</dcterms:modified>
</cp:coreProperties>
</file>