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#5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Atomic Structure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450"/>
        <w:gridCol w:w="2775"/>
        <w:gridCol w:w="1440"/>
        <w:tblGridChange w:id="0">
          <w:tblGrid>
            <w:gridCol w:w="990"/>
            <w:gridCol w:w="810"/>
            <w:gridCol w:w="3450"/>
            <w:gridCol w:w="2775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10*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1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7">
      <w:pPr>
        <w:numPr>
          <w:ilvl w:val="1"/>
          <w:numId w:val="5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5D">
      <w:pPr>
        <w:numPr>
          <w:ilvl w:val="1"/>
          <w:numId w:val="5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>
        <w:rFonts w:ascii="Arial" w:cs="Arial" w:eastAsia="Arial" w:hAnsi="Arial"/>
        <w:sz w:val="16"/>
        <w:szCs w:val="16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right"/>
      <w:rPr/>
    </w:pPr>
    <w:r w:rsidDel="00000000" w:rsidR="00000000" w:rsidRPr="00000000">
      <w:rPr>
        <w:rtl w:val="0"/>
      </w:rPr>
      <w:t xml:space="preserve">Purple Packet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