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D8" w:rsidRPr="00461B16" w:rsidRDefault="00512CD8" w:rsidP="000C1B91">
      <w:pPr>
        <w:pBdr>
          <w:bottom w:val="single" w:sz="4" w:space="1" w:color="auto"/>
        </w:pBdr>
        <w:jc w:val="center"/>
        <w:rPr>
          <w:b/>
          <w:i/>
          <w:sz w:val="28"/>
          <w:szCs w:val="28"/>
        </w:rPr>
      </w:pPr>
      <w:r>
        <w:rPr>
          <w:b/>
          <w:sz w:val="28"/>
          <w:szCs w:val="28"/>
        </w:rPr>
        <w:t>Rates of Reaction: Iodination of Acetone</w:t>
      </w:r>
      <w:r w:rsidR="00461B16">
        <w:rPr>
          <w:b/>
          <w:sz w:val="28"/>
          <w:szCs w:val="28"/>
        </w:rPr>
        <w:br/>
      </w:r>
      <w:proofErr w:type="gramStart"/>
      <w:r w:rsidR="00461B16" w:rsidRPr="00461B16">
        <w:rPr>
          <w:i/>
          <w:sz w:val="20"/>
        </w:rPr>
        <w:t>Determining</w:t>
      </w:r>
      <w:proofErr w:type="gramEnd"/>
      <w:r w:rsidR="00461B16" w:rsidRPr="00461B16">
        <w:rPr>
          <w:i/>
          <w:sz w:val="20"/>
        </w:rPr>
        <w:t xml:space="preserve"> the rate of the reaction by using time and concentration data from various trials.</w:t>
      </w:r>
    </w:p>
    <w:p w:rsidR="00357600" w:rsidRPr="001A6C34" w:rsidRDefault="00357600" w:rsidP="00512CD8">
      <w:pPr>
        <w:rPr>
          <w:sz w:val="20"/>
        </w:rPr>
      </w:pPr>
      <w:r w:rsidRPr="001A6C34">
        <w:rPr>
          <w:b/>
          <w:sz w:val="20"/>
        </w:rPr>
        <w:t>Introduction</w:t>
      </w:r>
      <w:r w:rsidRPr="001A6C34">
        <w:rPr>
          <w:sz w:val="20"/>
        </w:rPr>
        <w:t>:</w:t>
      </w:r>
    </w:p>
    <w:p w:rsidR="00357600" w:rsidRPr="001A6C34" w:rsidRDefault="00357600" w:rsidP="00461B16">
      <w:pPr>
        <w:ind w:firstLine="720"/>
        <w:rPr>
          <w:sz w:val="20"/>
        </w:rPr>
      </w:pPr>
      <w:r w:rsidRPr="001A6C34">
        <w:rPr>
          <w:sz w:val="20"/>
        </w:rPr>
        <w:t>The rate at which a chemical reaction occurs depends on several factors: the nature of the reaction, the concentrations of the reactants, the temperature, and the presence of possible catalysts.  In this experiment you will study the kinetics of the reaction between iodine and acetone in acid solution:</w:t>
      </w:r>
      <w:r w:rsidR="00BC40A1">
        <w:rPr>
          <w:sz w:val="20"/>
        </w:rPr>
        <w:t xml:space="preserve"> CH</w:t>
      </w:r>
      <w:r w:rsidR="00BC40A1" w:rsidRPr="00BC40A1">
        <w:rPr>
          <w:sz w:val="20"/>
          <w:vertAlign w:val="subscript"/>
        </w:rPr>
        <w:t>3</w:t>
      </w:r>
      <w:r w:rsidR="00BC40A1">
        <w:rPr>
          <w:sz w:val="20"/>
        </w:rPr>
        <w:t>COCH</w:t>
      </w:r>
      <w:r w:rsidR="00BC40A1" w:rsidRPr="00BC40A1">
        <w:rPr>
          <w:sz w:val="20"/>
          <w:vertAlign w:val="subscript"/>
        </w:rPr>
        <w:t>3</w:t>
      </w:r>
      <w:r w:rsidR="00BC40A1">
        <w:rPr>
          <w:sz w:val="20"/>
        </w:rPr>
        <w:t xml:space="preserve"> + I</w:t>
      </w:r>
      <w:r w:rsidR="00BC40A1" w:rsidRPr="00BC40A1">
        <w:rPr>
          <w:sz w:val="20"/>
          <w:vertAlign w:val="subscript"/>
        </w:rPr>
        <w:t>2</w:t>
      </w:r>
      <w:r w:rsidR="00BC40A1">
        <w:rPr>
          <w:sz w:val="20"/>
        </w:rPr>
        <w:t xml:space="preserve"> </w:t>
      </w:r>
      <w:r w:rsidR="00BC40A1" w:rsidRPr="00BC40A1">
        <w:rPr>
          <w:sz w:val="20"/>
        </w:rPr>
        <w:sym w:font="Wingdings" w:char="F0E0"/>
      </w:r>
      <w:r w:rsidR="00BC40A1">
        <w:rPr>
          <w:sz w:val="20"/>
        </w:rPr>
        <w:t xml:space="preserve"> CH</w:t>
      </w:r>
      <w:r w:rsidR="00BC40A1" w:rsidRPr="00BC40A1">
        <w:rPr>
          <w:sz w:val="20"/>
          <w:vertAlign w:val="subscript"/>
        </w:rPr>
        <w:t>3</w:t>
      </w:r>
      <w:r w:rsidR="00BC40A1">
        <w:rPr>
          <w:sz w:val="20"/>
        </w:rPr>
        <w:t>CCH</w:t>
      </w:r>
      <w:r w:rsidR="00BC40A1" w:rsidRPr="00BC40A1">
        <w:rPr>
          <w:sz w:val="20"/>
          <w:vertAlign w:val="subscript"/>
        </w:rPr>
        <w:t>2</w:t>
      </w:r>
      <w:r w:rsidR="00BC40A1">
        <w:rPr>
          <w:sz w:val="20"/>
        </w:rPr>
        <w:t>I + H</w:t>
      </w:r>
      <w:r w:rsidR="00BC40A1" w:rsidRPr="00BC40A1">
        <w:rPr>
          <w:sz w:val="20"/>
          <w:vertAlign w:val="superscript"/>
        </w:rPr>
        <w:t>+</w:t>
      </w:r>
      <w:r w:rsidR="00BC40A1">
        <w:rPr>
          <w:sz w:val="20"/>
        </w:rPr>
        <w:t xml:space="preserve"> + I</w:t>
      </w:r>
      <w:r w:rsidR="00BC40A1" w:rsidRPr="00BC40A1">
        <w:rPr>
          <w:sz w:val="20"/>
          <w:vertAlign w:val="superscript"/>
        </w:rPr>
        <w:t>-</w:t>
      </w:r>
    </w:p>
    <w:p w:rsidR="00357600" w:rsidRPr="001A6C34" w:rsidRDefault="00357600" w:rsidP="00461B16">
      <w:pPr>
        <w:ind w:firstLine="720"/>
        <w:rPr>
          <w:sz w:val="20"/>
        </w:rPr>
      </w:pPr>
      <w:r w:rsidRPr="001A6C34">
        <w:rPr>
          <w:sz w:val="20"/>
        </w:rPr>
        <w:t>For this reaction</w:t>
      </w:r>
      <w:r w:rsidR="00512CD8" w:rsidRPr="001A6C34">
        <w:rPr>
          <w:sz w:val="20"/>
        </w:rPr>
        <w:t>,</w:t>
      </w:r>
      <w:r w:rsidR="005864A5" w:rsidRPr="001A6C34">
        <w:rPr>
          <w:sz w:val="20"/>
        </w:rPr>
        <w:t xml:space="preserve"> you will determine the rate </w:t>
      </w:r>
      <w:r w:rsidRPr="001A6C34">
        <w:rPr>
          <w:sz w:val="20"/>
        </w:rPr>
        <w:t xml:space="preserve">of the reaction with respect to </w:t>
      </w:r>
      <w:r w:rsidR="005864A5" w:rsidRPr="001A6C34">
        <w:rPr>
          <w:sz w:val="20"/>
        </w:rPr>
        <w:t>iodine concentration to calculate Average Rate of this reaction</w:t>
      </w:r>
      <w:r w:rsidRPr="001A6C34">
        <w:rPr>
          <w:sz w:val="20"/>
        </w:rPr>
        <w:t>.  Since the concentrations of acetone and HCl are much higher than that of I</w:t>
      </w:r>
      <w:r w:rsidRPr="001A6C34">
        <w:rPr>
          <w:sz w:val="20"/>
          <w:vertAlign w:val="subscript"/>
        </w:rPr>
        <w:t>2</w:t>
      </w:r>
      <w:r w:rsidRPr="001A6C34">
        <w:rPr>
          <w:sz w:val="20"/>
        </w:rPr>
        <w:t>, the concentrations of acetone and HCl will change very little.  Thus the rate will be determined by the time needed for iodine to be used up.  Iodine has color so you can easily follow changes in iodine concent</w:t>
      </w:r>
      <w:r w:rsidR="005864A5" w:rsidRPr="001A6C34">
        <w:rPr>
          <w:sz w:val="20"/>
        </w:rPr>
        <w:t>ration visually.  The average rat</w:t>
      </w:r>
      <w:r w:rsidR="000C2982">
        <w:rPr>
          <w:sz w:val="20"/>
        </w:rPr>
        <w:t xml:space="preserve">e can be calculated using rate </w:t>
      </w:r>
      <w:r w:rsidR="00C746DD">
        <w:rPr>
          <w:sz w:val="20"/>
        </w:rPr>
        <w:t xml:space="preserve">= </w:t>
      </w:r>
      <w:r w:rsidR="001A6C34" w:rsidRPr="001A6C34">
        <w:rPr>
          <w:sz w:val="20"/>
        </w:rPr>
        <w:t>-</w:t>
      </w:r>
      <w:r w:rsidR="005864A5" w:rsidRPr="001A6C34">
        <w:rPr>
          <w:sz w:val="20"/>
        </w:rPr>
        <w:t>Δ</w:t>
      </w:r>
      <w:r w:rsidRPr="001A6C34">
        <w:rPr>
          <w:sz w:val="20"/>
        </w:rPr>
        <w:t>[I</w:t>
      </w:r>
      <w:r w:rsidRPr="001A6C34">
        <w:rPr>
          <w:sz w:val="20"/>
          <w:vertAlign w:val="subscript"/>
        </w:rPr>
        <w:t>2</w:t>
      </w:r>
      <w:r w:rsidRPr="001A6C34">
        <w:rPr>
          <w:sz w:val="20"/>
        </w:rPr>
        <w:t>]/</w:t>
      </w:r>
      <w:proofErr w:type="spellStart"/>
      <w:r w:rsidR="005864A5" w:rsidRPr="001A6C34">
        <w:rPr>
          <w:sz w:val="20"/>
        </w:rPr>
        <w:t>Δ</w:t>
      </w:r>
      <w:r w:rsidRPr="001A6C34">
        <w:rPr>
          <w:sz w:val="20"/>
        </w:rPr>
        <w:t>t</w:t>
      </w:r>
      <w:proofErr w:type="spellEnd"/>
      <w:r w:rsidRPr="001A6C34">
        <w:rPr>
          <w:sz w:val="20"/>
        </w:rPr>
        <w:t xml:space="preserve">  since the values for </w:t>
      </w:r>
      <w:r w:rsidR="005864A5" w:rsidRPr="001A6C34">
        <w:rPr>
          <w:sz w:val="20"/>
        </w:rPr>
        <w:t>iodine completely disappears this will calculate the average rate of reaction</w:t>
      </w:r>
      <w:r w:rsidRPr="001A6C34">
        <w:rPr>
          <w:sz w:val="20"/>
        </w:rPr>
        <w:t>.</w:t>
      </w:r>
    </w:p>
    <w:p w:rsidR="00357600" w:rsidRPr="001A6C34" w:rsidRDefault="00357600" w:rsidP="00461B16">
      <w:pPr>
        <w:pBdr>
          <w:top w:val="single" w:sz="4" w:space="1" w:color="auto"/>
        </w:pBdr>
        <w:rPr>
          <w:sz w:val="20"/>
        </w:rPr>
      </w:pPr>
      <w:r w:rsidRPr="001A6C34">
        <w:rPr>
          <w:b/>
          <w:sz w:val="20"/>
        </w:rPr>
        <w:t>Equipment/Materials</w:t>
      </w:r>
      <w:r w:rsidRPr="001A6C34">
        <w:rPr>
          <w:sz w:val="20"/>
        </w:rPr>
        <w:t>:</w:t>
      </w:r>
      <w:r w:rsidRPr="001A6C34">
        <w:rPr>
          <w:sz w:val="20"/>
        </w:rPr>
        <w:tab/>
      </w:r>
      <w:r w:rsidRPr="001A6C34">
        <w:rPr>
          <w:sz w:val="20"/>
        </w:rPr>
        <w:tab/>
      </w:r>
      <w:r w:rsidRPr="001A6C34">
        <w:rPr>
          <w:sz w:val="20"/>
        </w:rPr>
        <w:tab/>
      </w:r>
    </w:p>
    <w:p w:rsidR="00357600" w:rsidRPr="001A6C34" w:rsidRDefault="00357600" w:rsidP="00512CD8">
      <w:pPr>
        <w:rPr>
          <w:sz w:val="20"/>
        </w:rPr>
      </w:pPr>
      <w:r w:rsidRPr="001A6C34">
        <w:rPr>
          <w:sz w:val="20"/>
        </w:rPr>
        <w:t>4.0 M acetone solution</w:t>
      </w:r>
      <w:r w:rsidRPr="001A6C34">
        <w:rPr>
          <w:sz w:val="20"/>
        </w:rPr>
        <w:tab/>
      </w:r>
      <w:r w:rsidR="001A6C34">
        <w:rPr>
          <w:sz w:val="20"/>
        </w:rPr>
        <w:t xml:space="preserve">     </w:t>
      </w:r>
      <w:r w:rsidR="001A6C34" w:rsidRPr="001A6C34">
        <w:rPr>
          <w:sz w:val="20"/>
        </w:rPr>
        <w:t>0.0050 M iodine solution</w:t>
      </w:r>
      <w:r w:rsidR="001A6C34" w:rsidRPr="001A6C34">
        <w:rPr>
          <w:sz w:val="20"/>
        </w:rPr>
        <w:tab/>
      </w:r>
      <w:r w:rsidR="001A6C34">
        <w:rPr>
          <w:sz w:val="20"/>
        </w:rPr>
        <w:t xml:space="preserve">  </w:t>
      </w:r>
      <w:r w:rsidRPr="001A6C34">
        <w:rPr>
          <w:sz w:val="20"/>
        </w:rPr>
        <w:t>125 mL Erlenmeyer flasks</w:t>
      </w:r>
      <w:r w:rsidR="001A6C34">
        <w:rPr>
          <w:sz w:val="20"/>
        </w:rPr>
        <w:tab/>
        <w:t xml:space="preserve">  </w:t>
      </w:r>
      <w:r w:rsidR="001A6C34" w:rsidRPr="001A6C34">
        <w:rPr>
          <w:sz w:val="20"/>
        </w:rPr>
        <w:t>watch or other timing device</w:t>
      </w:r>
    </w:p>
    <w:p w:rsidR="00357600" w:rsidRPr="001A6C34" w:rsidRDefault="00357600" w:rsidP="00207279">
      <w:pPr>
        <w:pBdr>
          <w:bottom w:val="single" w:sz="4" w:space="1" w:color="auto"/>
        </w:pBdr>
        <w:rPr>
          <w:sz w:val="20"/>
        </w:rPr>
      </w:pPr>
      <w:r w:rsidRPr="001A6C34">
        <w:rPr>
          <w:sz w:val="20"/>
        </w:rPr>
        <w:t xml:space="preserve">1.0 M </w:t>
      </w:r>
      <w:proofErr w:type="spellStart"/>
      <w:r w:rsidRPr="001A6C34">
        <w:rPr>
          <w:sz w:val="20"/>
        </w:rPr>
        <w:t>HCl</w:t>
      </w:r>
      <w:proofErr w:type="spellEnd"/>
      <w:r w:rsidRPr="001A6C34">
        <w:rPr>
          <w:sz w:val="20"/>
        </w:rPr>
        <w:t xml:space="preserve"> solution</w:t>
      </w:r>
      <w:r w:rsidRPr="001A6C34">
        <w:rPr>
          <w:sz w:val="20"/>
        </w:rPr>
        <w:tab/>
      </w:r>
      <w:r w:rsidR="001A6C34">
        <w:rPr>
          <w:sz w:val="20"/>
        </w:rPr>
        <w:t xml:space="preserve">    </w:t>
      </w:r>
      <w:r w:rsidRPr="001A6C34">
        <w:rPr>
          <w:sz w:val="20"/>
        </w:rPr>
        <w:t>10 mL graduated cylinders</w:t>
      </w:r>
      <w:r w:rsidR="001A6C34">
        <w:rPr>
          <w:sz w:val="20"/>
        </w:rPr>
        <w:tab/>
        <w:t xml:space="preserve">  </w:t>
      </w:r>
      <w:r w:rsidR="001A6C34" w:rsidRPr="001A6C34">
        <w:rPr>
          <w:sz w:val="20"/>
        </w:rPr>
        <w:t>100 mL beakers</w:t>
      </w:r>
    </w:p>
    <w:p w:rsidR="000C2982" w:rsidRPr="007907F0" w:rsidRDefault="00357600" w:rsidP="000C2982">
      <w:pPr>
        <w:numPr>
          <w:ilvl w:val="0"/>
          <w:numId w:val="3"/>
        </w:numPr>
        <w:tabs>
          <w:tab w:val="clear" w:pos="1080"/>
          <w:tab w:val="num" w:pos="360"/>
        </w:tabs>
        <w:ind w:left="360"/>
        <w:rPr>
          <w:sz w:val="22"/>
          <w:szCs w:val="22"/>
        </w:rPr>
      </w:pPr>
      <w:r w:rsidRPr="00BC40A1">
        <w:rPr>
          <w:b/>
          <w:sz w:val="20"/>
        </w:rPr>
        <w:t>Procedure</w:t>
      </w:r>
      <w:r w:rsidRPr="00BC40A1">
        <w:rPr>
          <w:sz w:val="20"/>
        </w:rPr>
        <w:t>:</w:t>
      </w:r>
      <w:r w:rsidR="000C2982">
        <w:rPr>
          <w:sz w:val="20"/>
        </w:rPr>
        <w:t xml:space="preserve">  </w:t>
      </w:r>
      <w:r w:rsidR="000C2982" w:rsidRPr="000C2982">
        <w:rPr>
          <w:i/>
          <w:sz w:val="22"/>
          <w:szCs w:val="22"/>
        </w:rPr>
        <w:t>Be sure to use the correct pipet tip for each liquid</w:t>
      </w:r>
    </w:p>
    <w:p w:rsidR="000C2982" w:rsidRDefault="00DF2CC1" w:rsidP="00BC40A1">
      <w:pPr>
        <w:numPr>
          <w:ilvl w:val="0"/>
          <w:numId w:val="3"/>
        </w:numPr>
        <w:tabs>
          <w:tab w:val="clear" w:pos="1080"/>
          <w:tab w:val="num" w:pos="360"/>
        </w:tabs>
        <w:ind w:left="360"/>
        <w:rPr>
          <w:sz w:val="22"/>
          <w:szCs w:val="22"/>
        </w:rPr>
      </w:pPr>
      <w:r w:rsidRPr="000C2982">
        <w:rPr>
          <w:sz w:val="22"/>
          <w:szCs w:val="22"/>
        </w:rPr>
        <w:t xml:space="preserve">For Trial 1, pipet the appropriate amount of </w:t>
      </w:r>
      <w:r w:rsidR="000C2982" w:rsidRPr="000C2982">
        <w:rPr>
          <w:sz w:val="22"/>
          <w:szCs w:val="22"/>
        </w:rPr>
        <w:t xml:space="preserve">acetone, </w:t>
      </w:r>
      <w:proofErr w:type="spellStart"/>
      <w:r w:rsidR="000C2982" w:rsidRPr="000C2982">
        <w:rPr>
          <w:sz w:val="22"/>
          <w:szCs w:val="22"/>
        </w:rPr>
        <w:t>HCl</w:t>
      </w:r>
      <w:proofErr w:type="spellEnd"/>
      <w:r w:rsidR="000C2982" w:rsidRPr="000C2982">
        <w:rPr>
          <w:sz w:val="22"/>
          <w:szCs w:val="22"/>
        </w:rPr>
        <w:t>, and water. DON’T ADD THE IODINE YET!</w:t>
      </w:r>
      <w:r w:rsidRPr="000C2982">
        <w:rPr>
          <w:sz w:val="22"/>
          <w:szCs w:val="22"/>
        </w:rPr>
        <w:t xml:space="preserve">  </w:t>
      </w:r>
    </w:p>
    <w:p w:rsidR="00DF2CC1" w:rsidRPr="000C2982" w:rsidRDefault="00DF2CC1" w:rsidP="00BC40A1">
      <w:pPr>
        <w:numPr>
          <w:ilvl w:val="0"/>
          <w:numId w:val="3"/>
        </w:numPr>
        <w:tabs>
          <w:tab w:val="clear" w:pos="1080"/>
          <w:tab w:val="num" w:pos="360"/>
        </w:tabs>
        <w:ind w:left="360"/>
        <w:rPr>
          <w:sz w:val="22"/>
          <w:szCs w:val="22"/>
        </w:rPr>
      </w:pPr>
      <w:r w:rsidRPr="000C2982">
        <w:rPr>
          <w:sz w:val="22"/>
          <w:szCs w:val="22"/>
        </w:rPr>
        <w:t>Simultaneously add the iodine and start the stopwatch; swirl the flask at a consistent rate.  Stop the stopwatch when the color disappears and record the time for Run 1.</w:t>
      </w:r>
    </w:p>
    <w:p w:rsidR="00DF2CC1" w:rsidRPr="007907F0" w:rsidRDefault="00DF2CC1" w:rsidP="00BC40A1">
      <w:pPr>
        <w:numPr>
          <w:ilvl w:val="0"/>
          <w:numId w:val="3"/>
        </w:numPr>
        <w:tabs>
          <w:tab w:val="clear" w:pos="1080"/>
          <w:tab w:val="num" w:pos="360"/>
        </w:tabs>
        <w:ind w:left="360"/>
        <w:rPr>
          <w:sz w:val="22"/>
          <w:szCs w:val="22"/>
        </w:rPr>
      </w:pPr>
      <w:r w:rsidRPr="007907F0">
        <w:rPr>
          <w:sz w:val="22"/>
          <w:szCs w:val="22"/>
        </w:rPr>
        <w:t>Rinse and dry the flask.  Repeat the procedure for the remaining Trials and Runs.</w:t>
      </w:r>
    </w:p>
    <w:p w:rsidR="00357600" w:rsidRDefault="00357600" w:rsidP="000C1B91">
      <w:pPr>
        <w:pBdr>
          <w:top w:val="single" w:sz="4" w:space="1" w:color="auto"/>
        </w:pBdr>
      </w:pPr>
      <w:r w:rsidRPr="00461B16">
        <w:rPr>
          <w:b/>
          <w:sz w:val="20"/>
        </w:rPr>
        <w:t>Data and Calculations:</w:t>
      </w:r>
      <w:r>
        <w:tab/>
      </w:r>
      <w:r>
        <w:tab/>
      </w:r>
      <w:r>
        <w:tab/>
      </w:r>
      <w:r>
        <w:tab/>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900"/>
        <w:gridCol w:w="630"/>
        <w:gridCol w:w="720"/>
        <w:gridCol w:w="630"/>
        <w:gridCol w:w="1260"/>
        <w:gridCol w:w="900"/>
        <w:gridCol w:w="630"/>
        <w:gridCol w:w="1530"/>
        <w:gridCol w:w="1530"/>
        <w:gridCol w:w="1980"/>
      </w:tblGrid>
      <w:tr w:rsidR="006166F3" w:rsidTr="000C2982">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66F3" w:rsidRPr="00461B16" w:rsidRDefault="006166F3" w:rsidP="00EA320F">
            <w:pPr>
              <w:jc w:val="center"/>
              <w:rPr>
                <w:b/>
                <w:sz w:val="18"/>
              </w:rPr>
            </w:pPr>
            <w:r w:rsidRPr="00461B16">
              <w:rPr>
                <w:b/>
                <w:sz w:val="18"/>
              </w:rPr>
              <w:t>Trial</w:t>
            </w:r>
          </w:p>
        </w:tc>
        <w:tc>
          <w:tcPr>
            <w:tcW w:w="900" w:type="dxa"/>
            <w:tcBorders>
              <w:left w:val="nil"/>
            </w:tcBorders>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Acetone</w:t>
            </w:r>
          </w:p>
        </w:tc>
        <w:tc>
          <w:tcPr>
            <w:tcW w:w="63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proofErr w:type="spellStart"/>
            <w:r w:rsidRPr="00461B16">
              <w:rPr>
                <w:b/>
                <w:sz w:val="18"/>
              </w:rPr>
              <w:t>HCl</w:t>
            </w:r>
            <w:proofErr w:type="spellEnd"/>
          </w:p>
        </w:tc>
        <w:tc>
          <w:tcPr>
            <w:tcW w:w="72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Iodine</w:t>
            </w:r>
          </w:p>
        </w:tc>
        <w:tc>
          <w:tcPr>
            <w:tcW w:w="63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H</w:t>
            </w:r>
            <w:r w:rsidRPr="00461B16">
              <w:rPr>
                <w:b/>
                <w:sz w:val="18"/>
                <w:vertAlign w:val="subscript"/>
              </w:rPr>
              <w:t>2</w:t>
            </w:r>
            <w:r w:rsidRPr="00461B16">
              <w:rPr>
                <w:b/>
                <w:sz w:val="18"/>
              </w:rPr>
              <w:t>O</w:t>
            </w:r>
          </w:p>
        </w:tc>
        <w:tc>
          <w:tcPr>
            <w:tcW w:w="1260" w:type="dxa"/>
            <w:shd w:val="clear" w:color="auto" w:fill="D9D9D9" w:themeFill="background1" w:themeFillShade="D9"/>
            <w:vAlign w:val="center"/>
          </w:tcPr>
          <w:p w:rsidR="006166F3" w:rsidRDefault="006166F3" w:rsidP="00D620DF">
            <w:pPr>
              <w:jc w:val="center"/>
            </w:pPr>
            <w:r w:rsidRPr="006166F3">
              <w:rPr>
                <w:b/>
                <w:sz w:val="18"/>
              </w:rPr>
              <w:t>Starting [Iodine]</w:t>
            </w:r>
          </w:p>
        </w:tc>
        <w:tc>
          <w:tcPr>
            <w:tcW w:w="900" w:type="dxa"/>
            <w:shd w:val="clear" w:color="auto" w:fill="D9D9D9" w:themeFill="background1" w:themeFillShade="D9"/>
            <w:vAlign w:val="center"/>
          </w:tcPr>
          <w:p w:rsidR="006166F3" w:rsidRPr="00461B16" w:rsidRDefault="006166F3" w:rsidP="006166F3">
            <w:pPr>
              <w:jc w:val="center"/>
              <w:rPr>
                <w:b/>
                <w:sz w:val="18"/>
              </w:rPr>
            </w:pPr>
            <w:r>
              <w:rPr>
                <w:b/>
                <w:sz w:val="18"/>
              </w:rPr>
              <w:t>Ending [Iodine]</w:t>
            </w:r>
          </w:p>
        </w:tc>
        <w:tc>
          <w:tcPr>
            <w:tcW w:w="630" w:type="dxa"/>
            <w:shd w:val="clear" w:color="auto" w:fill="D9D9D9" w:themeFill="background1" w:themeFillShade="D9"/>
            <w:vAlign w:val="center"/>
          </w:tcPr>
          <w:p w:rsidR="006166F3" w:rsidRPr="00461B16" w:rsidRDefault="006166F3" w:rsidP="006166F3">
            <w:pPr>
              <w:jc w:val="center"/>
              <w:rPr>
                <w:b/>
                <w:sz w:val="18"/>
              </w:rPr>
            </w:pPr>
            <w:r>
              <w:rPr>
                <w:b/>
                <w:sz w:val="18"/>
              </w:rPr>
              <w:t>Start</w:t>
            </w:r>
            <w:r>
              <w:rPr>
                <w:b/>
                <w:sz w:val="18"/>
              </w:rPr>
              <w:br/>
              <w:t>time</w:t>
            </w:r>
          </w:p>
        </w:tc>
        <w:tc>
          <w:tcPr>
            <w:tcW w:w="1530" w:type="dxa"/>
            <w:shd w:val="clear" w:color="auto" w:fill="D9D9D9" w:themeFill="background1" w:themeFillShade="D9"/>
            <w:vAlign w:val="center"/>
          </w:tcPr>
          <w:p w:rsidR="006166F3" w:rsidRPr="00461B16" w:rsidRDefault="00D620DF" w:rsidP="00EA320F">
            <w:pPr>
              <w:jc w:val="center"/>
              <w:rPr>
                <w:b/>
                <w:sz w:val="18"/>
              </w:rPr>
            </w:pPr>
            <w:r>
              <w:rPr>
                <w:b/>
                <w:sz w:val="18"/>
              </w:rPr>
              <w:t xml:space="preserve">Ending </w:t>
            </w:r>
            <w:r w:rsidR="006166F3" w:rsidRPr="00461B16">
              <w:rPr>
                <w:b/>
                <w:sz w:val="18"/>
              </w:rPr>
              <w:t>Time</w:t>
            </w:r>
          </w:p>
          <w:p w:rsidR="006166F3" w:rsidRPr="00461B16" w:rsidRDefault="006166F3" w:rsidP="00EA320F">
            <w:pPr>
              <w:jc w:val="center"/>
              <w:rPr>
                <w:sz w:val="18"/>
              </w:rPr>
            </w:pPr>
            <w:r w:rsidRPr="00461B16">
              <w:rPr>
                <w:b/>
                <w:sz w:val="18"/>
              </w:rPr>
              <w:t>1</w:t>
            </w:r>
            <w:r w:rsidRPr="00461B16">
              <w:rPr>
                <w:b/>
                <w:sz w:val="18"/>
                <w:vertAlign w:val="superscript"/>
              </w:rPr>
              <w:t>st</w:t>
            </w:r>
            <w:r w:rsidRPr="00461B16">
              <w:rPr>
                <w:b/>
                <w:sz w:val="18"/>
              </w:rPr>
              <w:t xml:space="preserve"> Run</w:t>
            </w:r>
          </w:p>
        </w:tc>
        <w:tc>
          <w:tcPr>
            <w:tcW w:w="1530" w:type="dxa"/>
            <w:shd w:val="clear" w:color="auto" w:fill="D9D9D9" w:themeFill="background1" w:themeFillShade="D9"/>
            <w:vAlign w:val="center"/>
          </w:tcPr>
          <w:p w:rsidR="006166F3" w:rsidRPr="00461B16" w:rsidRDefault="00D620DF" w:rsidP="00EA320F">
            <w:pPr>
              <w:jc w:val="center"/>
              <w:rPr>
                <w:b/>
                <w:sz w:val="18"/>
              </w:rPr>
            </w:pPr>
            <w:r>
              <w:rPr>
                <w:b/>
                <w:sz w:val="18"/>
              </w:rPr>
              <w:t xml:space="preserve">Ending </w:t>
            </w:r>
            <w:r w:rsidR="006166F3" w:rsidRPr="00461B16">
              <w:rPr>
                <w:b/>
                <w:sz w:val="18"/>
              </w:rPr>
              <w:t>Time</w:t>
            </w:r>
          </w:p>
          <w:p w:rsidR="006166F3" w:rsidRPr="00461B16" w:rsidRDefault="006166F3" w:rsidP="00EA320F">
            <w:pPr>
              <w:jc w:val="center"/>
              <w:rPr>
                <w:sz w:val="18"/>
              </w:rPr>
            </w:pPr>
            <w:r w:rsidRPr="00461B16">
              <w:rPr>
                <w:b/>
                <w:sz w:val="18"/>
              </w:rPr>
              <w:t>2</w:t>
            </w:r>
            <w:r w:rsidRPr="00461B16">
              <w:rPr>
                <w:b/>
                <w:sz w:val="18"/>
                <w:vertAlign w:val="superscript"/>
              </w:rPr>
              <w:t>nd</w:t>
            </w:r>
            <w:r w:rsidRPr="00461B16">
              <w:rPr>
                <w:b/>
                <w:sz w:val="18"/>
              </w:rPr>
              <w:t xml:space="preserve"> Run</w:t>
            </w:r>
          </w:p>
        </w:tc>
        <w:tc>
          <w:tcPr>
            <w:tcW w:w="1980" w:type="dxa"/>
            <w:shd w:val="clear" w:color="auto" w:fill="D9D9D9" w:themeFill="background1" w:themeFillShade="D9"/>
            <w:vAlign w:val="center"/>
          </w:tcPr>
          <w:p w:rsidR="006166F3" w:rsidRPr="00461B16" w:rsidRDefault="006166F3" w:rsidP="00EA320F">
            <w:pPr>
              <w:jc w:val="center"/>
              <w:rPr>
                <w:b/>
                <w:sz w:val="18"/>
              </w:rPr>
            </w:pPr>
            <w:r w:rsidRPr="00461B16">
              <w:rPr>
                <w:b/>
                <w:sz w:val="18"/>
              </w:rPr>
              <w:t>Average</w:t>
            </w:r>
            <w:r w:rsidR="00D620DF">
              <w:rPr>
                <w:b/>
                <w:sz w:val="18"/>
              </w:rPr>
              <w:t xml:space="preserve"> Ending </w:t>
            </w:r>
          </w:p>
          <w:p w:rsidR="006166F3" w:rsidRPr="00461B16" w:rsidRDefault="006166F3" w:rsidP="00EA320F">
            <w:pPr>
              <w:jc w:val="center"/>
              <w:rPr>
                <w:sz w:val="18"/>
              </w:rPr>
            </w:pPr>
            <w:r w:rsidRPr="00461B16">
              <w:rPr>
                <w:b/>
                <w:sz w:val="18"/>
              </w:rPr>
              <w:t>Time</w:t>
            </w:r>
          </w:p>
        </w:tc>
      </w:tr>
      <w:tr w:rsidR="006166F3" w:rsidTr="000C2982">
        <w:trPr>
          <w:trHeight w:val="720"/>
        </w:trPr>
        <w:tc>
          <w:tcPr>
            <w:tcW w:w="625" w:type="dxa"/>
            <w:tcBorders>
              <w:top w:val="nil"/>
            </w:tcBorders>
            <w:vAlign w:val="center"/>
          </w:tcPr>
          <w:p w:rsidR="006166F3" w:rsidRDefault="006166F3" w:rsidP="00EA320F">
            <w:pPr>
              <w:jc w:val="center"/>
            </w:pPr>
            <w:r>
              <w:t>1</w:t>
            </w:r>
          </w:p>
        </w:tc>
        <w:tc>
          <w:tcPr>
            <w:tcW w:w="900" w:type="dxa"/>
            <w:vAlign w:val="center"/>
          </w:tcPr>
          <w:p w:rsidR="006166F3" w:rsidRDefault="00D94B27" w:rsidP="00EA320F">
            <w:pPr>
              <w:jc w:val="center"/>
            </w:pPr>
            <w:r>
              <w:t>5</w:t>
            </w:r>
            <w:r w:rsidR="006166F3">
              <w:t xml:space="preserve"> mL</w:t>
            </w:r>
          </w:p>
        </w:tc>
        <w:tc>
          <w:tcPr>
            <w:tcW w:w="630" w:type="dxa"/>
            <w:vAlign w:val="center"/>
          </w:tcPr>
          <w:p w:rsidR="006166F3" w:rsidRDefault="00D94B27" w:rsidP="00EA320F">
            <w:pPr>
              <w:jc w:val="center"/>
            </w:pPr>
            <w:r>
              <w:t>5</w:t>
            </w:r>
            <w:r w:rsidR="006166F3">
              <w:t xml:space="preserve"> mL</w:t>
            </w:r>
          </w:p>
        </w:tc>
        <w:tc>
          <w:tcPr>
            <w:tcW w:w="720" w:type="dxa"/>
            <w:vAlign w:val="center"/>
          </w:tcPr>
          <w:p w:rsidR="006166F3" w:rsidRDefault="00CD7B0F" w:rsidP="00EA320F">
            <w:pPr>
              <w:jc w:val="center"/>
            </w:pPr>
            <w:r>
              <w:t>4</w:t>
            </w:r>
            <w:r w:rsidR="006166F3">
              <w:t xml:space="preserve"> mL</w:t>
            </w:r>
          </w:p>
        </w:tc>
        <w:tc>
          <w:tcPr>
            <w:tcW w:w="630" w:type="dxa"/>
            <w:vAlign w:val="center"/>
          </w:tcPr>
          <w:p w:rsidR="006166F3" w:rsidRDefault="00CD7B0F" w:rsidP="00EA320F">
            <w:pPr>
              <w:jc w:val="center"/>
            </w:pPr>
            <w:r>
              <w:t>6</w:t>
            </w:r>
            <w:r w:rsidR="006166F3">
              <w:t xml:space="preserve"> mL</w:t>
            </w:r>
          </w:p>
        </w:tc>
        <w:tc>
          <w:tcPr>
            <w:tcW w:w="1260" w:type="dxa"/>
            <w:vAlign w:val="center"/>
          </w:tcPr>
          <w:p w:rsidR="006166F3" w:rsidRDefault="00884A1F" w:rsidP="00EA320F">
            <w:pPr>
              <w:jc w:val="center"/>
            </w:pPr>
            <w:r>
              <w:t>0.001</w:t>
            </w:r>
            <w:r w:rsidR="006166F3">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EA320F">
            <w:pPr>
              <w:jc w:val="center"/>
            </w:pPr>
          </w:p>
        </w:tc>
        <w:tc>
          <w:tcPr>
            <w:tcW w:w="1530" w:type="dxa"/>
            <w:vAlign w:val="center"/>
          </w:tcPr>
          <w:p w:rsidR="006166F3" w:rsidRDefault="006166F3" w:rsidP="00EA320F">
            <w:pPr>
              <w:jc w:val="center"/>
            </w:pPr>
          </w:p>
        </w:tc>
        <w:tc>
          <w:tcPr>
            <w:tcW w:w="1980" w:type="dxa"/>
            <w:vAlign w:val="center"/>
          </w:tcPr>
          <w:p w:rsidR="006166F3" w:rsidRDefault="006166F3" w:rsidP="00EA320F">
            <w:pPr>
              <w:jc w:val="center"/>
            </w:pPr>
          </w:p>
        </w:tc>
      </w:tr>
      <w:tr w:rsidR="006166F3" w:rsidTr="000C2982">
        <w:trPr>
          <w:trHeight w:val="629"/>
        </w:trPr>
        <w:tc>
          <w:tcPr>
            <w:tcW w:w="625" w:type="dxa"/>
            <w:vAlign w:val="center"/>
          </w:tcPr>
          <w:p w:rsidR="006166F3" w:rsidRDefault="006166F3" w:rsidP="006166F3">
            <w:pPr>
              <w:jc w:val="center"/>
            </w:pPr>
            <w:r>
              <w:t>2</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6</w:t>
            </w:r>
            <w:r w:rsidR="006166F3">
              <w:t xml:space="preserve"> mL</w:t>
            </w:r>
          </w:p>
        </w:tc>
        <w:tc>
          <w:tcPr>
            <w:tcW w:w="630" w:type="dxa"/>
            <w:vAlign w:val="center"/>
          </w:tcPr>
          <w:p w:rsidR="006166F3" w:rsidRDefault="00CD7B0F" w:rsidP="006166F3">
            <w:pPr>
              <w:jc w:val="center"/>
            </w:pPr>
            <w:r>
              <w:t>4</w:t>
            </w:r>
            <w:r w:rsidR="006166F3">
              <w:t xml:space="preserve"> mL</w:t>
            </w:r>
          </w:p>
        </w:tc>
        <w:tc>
          <w:tcPr>
            <w:tcW w:w="1260" w:type="dxa"/>
            <w:vAlign w:val="center"/>
          </w:tcPr>
          <w:p w:rsidR="006166F3" w:rsidRDefault="006166F3" w:rsidP="006166F3">
            <w:pPr>
              <w:jc w:val="center"/>
            </w:pPr>
            <w:r>
              <w:t>0.001</w:t>
            </w:r>
            <w:r w:rsidR="00884A1F">
              <w:t>5</w:t>
            </w:r>
            <w:r>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r w:rsidR="006166F3" w:rsidTr="000C2982">
        <w:trPr>
          <w:trHeight w:val="629"/>
        </w:trPr>
        <w:tc>
          <w:tcPr>
            <w:tcW w:w="625" w:type="dxa"/>
            <w:vAlign w:val="center"/>
          </w:tcPr>
          <w:p w:rsidR="006166F3" w:rsidRDefault="006166F3" w:rsidP="006166F3">
            <w:pPr>
              <w:jc w:val="center"/>
            </w:pPr>
            <w:r>
              <w:t>3</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8</w:t>
            </w:r>
            <w:r w:rsidR="006166F3">
              <w:t xml:space="preserve"> mL</w:t>
            </w:r>
          </w:p>
        </w:tc>
        <w:tc>
          <w:tcPr>
            <w:tcW w:w="630" w:type="dxa"/>
            <w:vAlign w:val="center"/>
          </w:tcPr>
          <w:p w:rsidR="006166F3" w:rsidRDefault="00CD7B0F" w:rsidP="006166F3">
            <w:pPr>
              <w:jc w:val="center"/>
            </w:pPr>
            <w:r>
              <w:t>2</w:t>
            </w:r>
            <w:r w:rsidR="006166F3">
              <w:t xml:space="preserve"> mL</w:t>
            </w:r>
          </w:p>
        </w:tc>
        <w:tc>
          <w:tcPr>
            <w:tcW w:w="1260" w:type="dxa"/>
            <w:vAlign w:val="center"/>
          </w:tcPr>
          <w:p w:rsidR="006166F3" w:rsidRDefault="00884A1F" w:rsidP="006166F3">
            <w:pPr>
              <w:jc w:val="center"/>
            </w:pPr>
            <w:r>
              <w:t>0.002</w:t>
            </w:r>
            <w:r w:rsidR="006166F3">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r w:rsidR="006166F3" w:rsidTr="000C2982">
        <w:trPr>
          <w:trHeight w:val="620"/>
        </w:trPr>
        <w:tc>
          <w:tcPr>
            <w:tcW w:w="625" w:type="dxa"/>
            <w:vAlign w:val="center"/>
          </w:tcPr>
          <w:p w:rsidR="006166F3" w:rsidRDefault="006166F3" w:rsidP="006166F3">
            <w:pPr>
              <w:jc w:val="center"/>
            </w:pPr>
            <w:r>
              <w:t>4</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10</w:t>
            </w:r>
            <w:r w:rsidR="006166F3">
              <w:t xml:space="preserve"> mL</w:t>
            </w:r>
          </w:p>
        </w:tc>
        <w:tc>
          <w:tcPr>
            <w:tcW w:w="630" w:type="dxa"/>
            <w:vAlign w:val="center"/>
          </w:tcPr>
          <w:p w:rsidR="006166F3" w:rsidRDefault="006166F3" w:rsidP="006166F3">
            <w:pPr>
              <w:jc w:val="center"/>
            </w:pPr>
            <w:r>
              <w:t>0 mL</w:t>
            </w:r>
          </w:p>
        </w:tc>
        <w:tc>
          <w:tcPr>
            <w:tcW w:w="1260" w:type="dxa"/>
            <w:vAlign w:val="center"/>
          </w:tcPr>
          <w:p w:rsidR="006166F3" w:rsidRDefault="006166F3" w:rsidP="006166F3">
            <w:pPr>
              <w:jc w:val="center"/>
            </w:pPr>
            <w:r>
              <w:t>0.002</w:t>
            </w:r>
            <w:r w:rsidR="00884A1F">
              <w:t>5</w:t>
            </w:r>
            <w:r>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bl>
    <w:tbl>
      <w:tblPr>
        <w:tblStyle w:val="TableGrid"/>
        <w:tblW w:w="0" w:type="auto"/>
        <w:tblLook w:val="04A0" w:firstRow="1" w:lastRow="0" w:firstColumn="1" w:lastColumn="0" w:noHBand="0" w:noVBand="1"/>
      </w:tblPr>
      <w:tblGrid>
        <w:gridCol w:w="736"/>
        <w:gridCol w:w="6099"/>
        <w:gridCol w:w="4500"/>
      </w:tblGrid>
      <w:tr w:rsidR="00207279" w:rsidTr="007907F0">
        <w:tc>
          <w:tcPr>
            <w:tcW w:w="736" w:type="dxa"/>
            <w:shd w:val="clear" w:color="auto" w:fill="D9D9D9" w:themeFill="background1" w:themeFillShade="D9"/>
            <w:vAlign w:val="center"/>
          </w:tcPr>
          <w:p w:rsidR="00207279" w:rsidRPr="00EA320F" w:rsidRDefault="00207279" w:rsidP="00EA320F">
            <w:pPr>
              <w:jc w:val="center"/>
              <w:rPr>
                <w:b/>
              </w:rPr>
            </w:pPr>
            <w:r w:rsidRPr="00EA320F">
              <w:rPr>
                <w:b/>
              </w:rPr>
              <w:t>Trial</w:t>
            </w:r>
          </w:p>
        </w:tc>
        <w:tc>
          <w:tcPr>
            <w:tcW w:w="6099" w:type="dxa"/>
            <w:shd w:val="clear" w:color="auto" w:fill="D9D9D9" w:themeFill="background1" w:themeFillShade="D9"/>
            <w:vAlign w:val="center"/>
          </w:tcPr>
          <w:p w:rsidR="00207279" w:rsidRPr="00461B16" w:rsidRDefault="00207279" w:rsidP="00EA320F">
            <w:pPr>
              <w:jc w:val="center"/>
              <w:rPr>
                <w:b/>
                <w:sz w:val="20"/>
                <w:u w:val="single"/>
              </w:rPr>
            </w:pPr>
            <w:r w:rsidRPr="00461B16">
              <w:rPr>
                <w:b/>
                <w:sz w:val="20"/>
                <w:u w:val="single"/>
              </w:rPr>
              <w:t xml:space="preserve">Average </w:t>
            </w:r>
            <w:r w:rsidR="00D620DF">
              <w:rPr>
                <w:b/>
                <w:sz w:val="20"/>
                <w:u w:val="single"/>
              </w:rPr>
              <w:t xml:space="preserve">Reaction </w:t>
            </w:r>
            <w:r w:rsidRPr="00461B16">
              <w:rPr>
                <w:b/>
                <w:sz w:val="20"/>
                <w:u w:val="single"/>
              </w:rPr>
              <w:t>Rate</w:t>
            </w:r>
          </w:p>
          <w:p w:rsidR="00207279" w:rsidRPr="005864A5" w:rsidRDefault="00207279" w:rsidP="00EA320F">
            <w:pPr>
              <w:jc w:val="center"/>
            </w:pPr>
            <w:r>
              <w:t xml:space="preserve">Rate  = </w:t>
            </w:r>
            <w:r w:rsidR="007907F0">
              <w:t>-</w:t>
            </w:r>
            <w:r>
              <w:t xml:space="preserve"> </w:t>
            </w:r>
            <w:r w:rsidR="006166F3">
              <w:sym w:font="Symbol" w:char="F044"/>
            </w:r>
            <w:r>
              <w:t>[I</w:t>
            </w:r>
            <w:r>
              <w:rPr>
                <w:vertAlign w:val="subscript"/>
              </w:rPr>
              <w:t>2</w:t>
            </w:r>
            <w:r>
              <w:t xml:space="preserve">] / </w:t>
            </w:r>
            <w:r w:rsidR="006166F3">
              <w:sym w:font="Symbol" w:char="F044"/>
            </w:r>
            <w:r>
              <w:t>(average time)</w:t>
            </w:r>
          </w:p>
        </w:tc>
        <w:tc>
          <w:tcPr>
            <w:tcW w:w="4500" w:type="dxa"/>
            <w:shd w:val="clear" w:color="auto" w:fill="D9D9D9" w:themeFill="background1" w:themeFillShade="D9"/>
            <w:vAlign w:val="center"/>
          </w:tcPr>
          <w:p w:rsidR="00207279" w:rsidRDefault="00207279" w:rsidP="00207279">
            <w:pPr>
              <w:jc w:val="center"/>
              <w:rPr>
                <w:b/>
                <w:sz w:val="20"/>
                <w:u w:val="single"/>
              </w:rPr>
            </w:pPr>
            <w:r>
              <w:rPr>
                <w:b/>
                <w:sz w:val="20"/>
                <w:u w:val="single"/>
              </w:rPr>
              <w:t>Questions</w:t>
            </w:r>
          </w:p>
          <w:p w:rsidR="007907F0" w:rsidRPr="007907F0" w:rsidRDefault="007907F0" w:rsidP="007907F0">
            <w:pPr>
              <w:jc w:val="center"/>
              <w:rPr>
                <w:sz w:val="20"/>
              </w:rPr>
            </w:pPr>
            <w:r>
              <w:rPr>
                <w:sz w:val="20"/>
              </w:rPr>
              <w:t xml:space="preserve">Use full sentences! </w:t>
            </w:r>
            <w:r w:rsidRPr="007907F0">
              <w:rPr>
                <w:sz w:val="20"/>
              </w:rPr>
              <w:t xml:space="preserve">Write answers on p. </w:t>
            </w:r>
            <w:r>
              <w:rPr>
                <w:sz w:val="20"/>
              </w:rPr>
              <w:t xml:space="preserve">      </w:t>
            </w:r>
          </w:p>
        </w:tc>
      </w:tr>
      <w:tr w:rsidR="00207279" w:rsidTr="000C2982">
        <w:trPr>
          <w:trHeight w:val="1584"/>
        </w:trPr>
        <w:tc>
          <w:tcPr>
            <w:tcW w:w="736" w:type="dxa"/>
            <w:vAlign w:val="center"/>
          </w:tcPr>
          <w:p w:rsidR="00207279" w:rsidRDefault="00207279" w:rsidP="00EA320F">
            <w:pPr>
              <w:jc w:val="center"/>
            </w:pPr>
            <w:r>
              <w:t>1</w:t>
            </w:r>
          </w:p>
        </w:tc>
        <w:tc>
          <w:tcPr>
            <w:tcW w:w="6099" w:type="dxa"/>
          </w:tcPr>
          <w:p w:rsidR="00207279" w:rsidRDefault="00207279" w:rsidP="00EA320F"/>
        </w:tc>
        <w:tc>
          <w:tcPr>
            <w:tcW w:w="4500" w:type="dxa"/>
            <w:vMerge w:val="restart"/>
          </w:tcPr>
          <w:p w:rsidR="00207279" w:rsidRPr="007907F0" w:rsidRDefault="00207279" w:rsidP="00207279">
            <w:pPr>
              <w:numPr>
                <w:ilvl w:val="0"/>
                <w:numId w:val="9"/>
              </w:numPr>
            </w:pPr>
            <w:r w:rsidRPr="007907F0">
              <w:t>How did the rate change</w:t>
            </w:r>
            <w:r w:rsidR="007907F0">
              <w:t xml:space="preserve"> from Trial 1-4</w:t>
            </w:r>
            <w:r w:rsidRPr="007907F0">
              <w:t>?</w:t>
            </w:r>
          </w:p>
          <w:p w:rsidR="00207279" w:rsidRPr="007907F0" w:rsidRDefault="00207279" w:rsidP="00207279">
            <w:pPr>
              <w:numPr>
                <w:ilvl w:val="0"/>
                <w:numId w:val="9"/>
              </w:numPr>
            </w:pPr>
            <w:r w:rsidRPr="007907F0">
              <w:t>How does the rate of the reaction relate to the concentration of iodine?</w:t>
            </w:r>
          </w:p>
          <w:p w:rsidR="00207279" w:rsidRPr="007907F0" w:rsidRDefault="00207279" w:rsidP="00207279">
            <w:pPr>
              <w:numPr>
                <w:ilvl w:val="0"/>
                <w:numId w:val="9"/>
              </w:numPr>
            </w:pPr>
            <w:r w:rsidRPr="007907F0">
              <w:t xml:space="preserve">Explain the general rule of how </w:t>
            </w:r>
            <w:r w:rsidR="00B05A9C">
              <w:t xml:space="preserve">the </w:t>
            </w:r>
            <w:r w:rsidRPr="007907F0">
              <w:t>concentratio</w:t>
            </w:r>
            <w:r w:rsidR="00B05A9C">
              <w:t xml:space="preserve">ns </w:t>
            </w:r>
            <w:r w:rsidRPr="007907F0">
              <w:t>of reactants affect the rate.</w:t>
            </w:r>
          </w:p>
          <w:p w:rsidR="007907F0" w:rsidRDefault="00207279" w:rsidP="007907F0">
            <w:pPr>
              <w:numPr>
                <w:ilvl w:val="0"/>
                <w:numId w:val="9"/>
              </w:numPr>
            </w:pPr>
            <w:r w:rsidRPr="007907F0">
              <w:t xml:space="preserve">Why is it important to keep the total </w:t>
            </w:r>
            <w:r w:rsidR="00B05A9C">
              <w:t>liquid volume</w:t>
            </w:r>
            <w:r w:rsidRPr="007907F0">
              <w:t xml:space="preserve"> of the reaction the same?</w:t>
            </w:r>
            <w:r w:rsidR="00B05A9C">
              <w:t xml:space="preserve"> If you look, we made the total</w:t>
            </w:r>
            <w:r w:rsidR="001A4046">
              <w:t xml:space="preserve"> liquid volume always equal to 2</w:t>
            </w:r>
            <w:bookmarkStart w:id="0" w:name="_GoBack"/>
            <w:bookmarkEnd w:id="0"/>
            <w:r w:rsidR="00B05A9C">
              <w:t>0mL.</w:t>
            </w:r>
          </w:p>
          <w:p w:rsidR="00B05A9C" w:rsidRDefault="00B05A9C" w:rsidP="00B05A9C">
            <w:pPr>
              <w:numPr>
                <w:ilvl w:val="0"/>
                <w:numId w:val="9"/>
              </w:numPr>
              <w:rPr>
                <w:sz w:val="32"/>
              </w:rPr>
            </w:pPr>
            <w:r>
              <w:t>Why did we use a negative sign in front of the rate equation?</w:t>
            </w:r>
          </w:p>
          <w:p w:rsidR="00207279" w:rsidRPr="007907F0" w:rsidRDefault="00B05A9C" w:rsidP="007907F0">
            <w:pPr>
              <w:numPr>
                <w:ilvl w:val="0"/>
                <w:numId w:val="9"/>
              </w:numPr>
              <w:rPr>
                <w:sz w:val="32"/>
              </w:rPr>
            </w:pPr>
            <w:r>
              <w:t>Why was the temperature kept</w:t>
            </w:r>
            <w:r w:rsidR="00207279" w:rsidRPr="007907F0">
              <w:t xml:space="preserve"> the same</w:t>
            </w:r>
            <w:r>
              <w:t xml:space="preserve"> in each trial</w:t>
            </w:r>
            <w:r w:rsidR="00207279" w:rsidRPr="007907F0">
              <w:t>?</w:t>
            </w:r>
          </w:p>
          <w:p w:rsidR="00B05A9C" w:rsidRPr="00B05A9C" w:rsidRDefault="00B05A9C" w:rsidP="00B05A9C">
            <w:pPr>
              <w:numPr>
                <w:ilvl w:val="0"/>
                <w:numId w:val="9"/>
              </w:numPr>
              <w:rPr>
                <w:sz w:val="32"/>
              </w:rPr>
            </w:pPr>
            <w:r w:rsidRPr="00B05A9C">
              <w:t>How wo</w:t>
            </w:r>
            <w:r>
              <w:t>uld you redesign the lab to check how temperature changes the rate instead of concentration?</w:t>
            </w:r>
          </w:p>
        </w:tc>
      </w:tr>
      <w:tr w:rsidR="00207279" w:rsidTr="000C2982">
        <w:trPr>
          <w:trHeight w:val="1584"/>
        </w:trPr>
        <w:tc>
          <w:tcPr>
            <w:tcW w:w="736" w:type="dxa"/>
            <w:vAlign w:val="center"/>
          </w:tcPr>
          <w:p w:rsidR="00207279" w:rsidRDefault="00207279" w:rsidP="00EA320F">
            <w:pPr>
              <w:jc w:val="center"/>
            </w:pPr>
            <w:r>
              <w:t>2</w:t>
            </w:r>
          </w:p>
        </w:tc>
        <w:tc>
          <w:tcPr>
            <w:tcW w:w="6099" w:type="dxa"/>
          </w:tcPr>
          <w:p w:rsidR="00207279" w:rsidRDefault="00207279" w:rsidP="00EA320F"/>
        </w:tc>
        <w:tc>
          <w:tcPr>
            <w:tcW w:w="4500" w:type="dxa"/>
            <w:vMerge/>
          </w:tcPr>
          <w:p w:rsidR="00207279" w:rsidRDefault="00207279" w:rsidP="00EA320F"/>
        </w:tc>
      </w:tr>
      <w:tr w:rsidR="00207279" w:rsidTr="000C2982">
        <w:trPr>
          <w:trHeight w:val="1584"/>
        </w:trPr>
        <w:tc>
          <w:tcPr>
            <w:tcW w:w="736" w:type="dxa"/>
            <w:vAlign w:val="center"/>
          </w:tcPr>
          <w:p w:rsidR="00207279" w:rsidRDefault="00207279" w:rsidP="00EA320F">
            <w:pPr>
              <w:jc w:val="center"/>
            </w:pPr>
            <w:r>
              <w:t>3</w:t>
            </w:r>
          </w:p>
        </w:tc>
        <w:tc>
          <w:tcPr>
            <w:tcW w:w="6099" w:type="dxa"/>
          </w:tcPr>
          <w:p w:rsidR="00207279" w:rsidRDefault="00207279" w:rsidP="00EA320F"/>
        </w:tc>
        <w:tc>
          <w:tcPr>
            <w:tcW w:w="4500" w:type="dxa"/>
            <w:vMerge/>
          </w:tcPr>
          <w:p w:rsidR="00207279" w:rsidRDefault="00207279" w:rsidP="00EA320F"/>
        </w:tc>
      </w:tr>
      <w:tr w:rsidR="00207279" w:rsidTr="000C2982">
        <w:trPr>
          <w:trHeight w:val="1584"/>
        </w:trPr>
        <w:tc>
          <w:tcPr>
            <w:tcW w:w="736" w:type="dxa"/>
            <w:vAlign w:val="center"/>
          </w:tcPr>
          <w:p w:rsidR="00207279" w:rsidRDefault="00207279" w:rsidP="00EA320F">
            <w:pPr>
              <w:jc w:val="center"/>
            </w:pPr>
            <w:r>
              <w:t>4</w:t>
            </w:r>
          </w:p>
        </w:tc>
        <w:tc>
          <w:tcPr>
            <w:tcW w:w="6099" w:type="dxa"/>
          </w:tcPr>
          <w:p w:rsidR="00207279" w:rsidRDefault="00207279" w:rsidP="00EA320F"/>
        </w:tc>
        <w:tc>
          <w:tcPr>
            <w:tcW w:w="4500" w:type="dxa"/>
            <w:vMerge/>
          </w:tcPr>
          <w:p w:rsidR="00207279" w:rsidRDefault="00207279" w:rsidP="00EA320F"/>
        </w:tc>
      </w:tr>
    </w:tbl>
    <w:p w:rsidR="00357600" w:rsidRPr="00207279" w:rsidRDefault="00357600" w:rsidP="00207279">
      <w:pPr>
        <w:spacing w:line="360" w:lineRule="auto"/>
        <w:rPr>
          <w:sz w:val="2"/>
        </w:rPr>
      </w:pPr>
    </w:p>
    <w:sectPr w:rsidR="00357600" w:rsidRPr="00207279" w:rsidSect="00461B16">
      <w:footerReference w:type="default" r:id="rId7"/>
      <w:pgSz w:w="12240" w:h="15840"/>
      <w:pgMar w:top="432" w:right="432" w:bottom="432"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26" w:rsidRDefault="007C1026">
      <w:r>
        <w:separator/>
      </w:r>
    </w:p>
  </w:endnote>
  <w:endnote w:type="continuationSeparator" w:id="0">
    <w:p w:rsidR="007C1026" w:rsidRDefault="007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00" w:rsidRDefault="003576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26" w:rsidRDefault="007C1026">
      <w:r>
        <w:separator/>
      </w:r>
    </w:p>
  </w:footnote>
  <w:footnote w:type="continuationSeparator" w:id="0">
    <w:p w:rsidR="007C1026" w:rsidRDefault="007C1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D06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84A5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2C920801"/>
    <w:multiLevelType w:val="singleLevel"/>
    <w:tmpl w:val="8F7E77AC"/>
    <w:lvl w:ilvl="0">
      <w:start w:val="1"/>
      <w:numFmt w:val="decimal"/>
      <w:lvlText w:val="%1."/>
      <w:lvlJc w:val="left"/>
      <w:pPr>
        <w:tabs>
          <w:tab w:val="num" w:pos="1080"/>
        </w:tabs>
        <w:ind w:left="1080" w:hanging="360"/>
      </w:pPr>
      <w:rPr>
        <w:rFonts w:hint="default"/>
      </w:rPr>
    </w:lvl>
  </w:abstractNum>
  <w:abstractNum w:abstractNumId="3" w15:restartNumberingAfterBreak="0">
    <w:nsid w:val="3C473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19038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6A206B0"/>
    <w:multiLevelType w:val="singleLevel"/>
    <w:tmpl w:val="7DC2EBC2"/>
    <w:lvl w:ilvl="0">
      <w:start w:val="1"/>
      <w:numFmt w:val="upperRoman"/>
      <w:pStyle w:val="Heading1"/>
      <w:lvlText w:val="%1."/>
      <w:lvlJc w:val="left"/>
      <w:pPr>
        <w:tabs>
          <w:tab w:val="num" w:pos="720"/>
        </w:tabs>
        <w:ind w:left="720" w:hanging="720"/>
      </w:pPr>
      <w:rPr>
        <w:rFonts w:hint="default"/>
      </w:rPr>
    </w:lvl>
  </w:abstractNum>
  <w:abstractNum w:abstractNumId="6" w15:restartNumberingAfterBreak="0">
    <w:nsid w:val="4A2E1834"/>
    <w:multiLevelType w:val="singleLevel"/>
    <w:tmpl w:val="5168639A"/>
    <w:lvl w:ilvl="0">
      <w:start w:val="3"/>
      <w:numFmt w:val="decimal"/>
      <w:lvlText w:val="%1"/>
      <w:lvlJc w:val="left"/>
      <w:pPr>
        <w:tabs>
          <w:tab w:val="num" w:pos="360"/>
        </w:tabs>
        <w:ind w:left="360" w:hanging="360"/>
      </w:pPr>
      <w:rPr>
        <w:rFonts w:hint="default"/>
      </w:rPr>
    </w:lvl>
  </w:abstractNum>
  <w:abstractNum w:abstractNumId="7" w15:restartNumberingAfterBreak="0">
    <w:nsid w:val="76113B3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751387B"/>
    <w:multiLevelType w:val="hybridMultilevel"/>
    <w:tmpl w:val="2D50D9CC"/>
    <w:lvl w:ilvl="0" w:tplc="1FFEDC40">
      <w:start w:val="1"/>
      <w:numFmt w:val="decimal"/>
      <w:lvlText w:val="%1)"/>
      <w:lvlJc w:val="left"/>
      <w:pPr>
        <w:tabs>
          <w:tab w:val="num" w:pos="360"/>
        </w:tabs>
        <w:ind w:left="360" w:hanging="360"/>
      </w:pPr>
      <w:rPr>
        <w:sz w:val="24"/>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41"/>
    <w:rsid w:val="00040FDD"/>
    <w:rsid w:val="00070D82"/>
    <w:rsid w:val="000737F0"/>
    <w:rsid w:val="000C1B91"/>
    <w:rsid w:val="000C2982"/>
    <w:rsid w:val="001535F9"/>
    <w:rsid w:val="001A4046"/>
    <w:rsid w:val="001A6C34"/>
    <w:rsid w:val="001B0541"/>
    <w:rsid w:val="00207279"/>
    <w:rsid w:val="00296AAC"/>
    <w:rsid w:val="002B62D4"/>
    <w:rsid w:val="00357600"/>
    <w:rsid w:val="00404EAA"/>
    <w:rsid w:val="00405ED1"/>
    <w:rsid w:val="00461B16"/>
    <w:rsid w:val="004A10A3"/>
    <w:rsid w:val="00512CD8"/>
    <w:rsid w:val="005864A5"/>
    <w:rsid w:val="005A543D"/>
    <w:rsid w:val="005F3B48"/>
    <w:rsid w:val="006166F3"/>
    <w:rsid w:val="0069142E"/>
    <w:rsid w:val="00772088"/>
    <w:rsid w:val="007907F0"/>
    <w:rsid w:val="00793682"/>
    <w:rsid w:val="007C1026"/>
    <w:rsid w:val="00801D48"/>
    <w:rsid w:val="008204DE"/>
    <w:rsid w:val="00847CF8"/>
    <w:rsid w:val="00884A1F"/>
    <w:rsid w:val="00904CBA"/>
    <w:rsid w:val="00A22F94"/>
    <w:rsid w:val="00B05A9C"/>
    <w:rsid w:val="00B6659A"/>
    <w:rsid w:val="00BB620A"/>
    <w:rsid w:val="00BC40A1"/>
    <w:rsid w:val="00C746DD"/>
    <w:rsid w:val="00CD135A"/>
    <w:rsid w:val="00CD7B0F"/>
    <w:rsid w:val="00D620DF"/>
    <w:rsid w:val="00D94B27"/>
    <w:rsid w:val="00DF2CC1"/>
    <w:rsid w:val="00EA320F"/>
    <w:rsid w:val="00F1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A207BF-D8E0-47A0-9521-40D56A1F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jc w:val="center"/>
      <w:outlineLvl w:val="1"/>
    </w:pPr>
    <w:rPr>
      <w:b/>
      <w:smallCaps/>
    </w:rPr>
  </w:style>
  <w:style w:type="paragraph" w:styleId="Heading3">
    <w:name w:val="heading 3"/>
    <w:basedOn w:val="Normal"/>
    <w:next w:val="Normal"/>
    <w:qFormat/>
    <w:pPr>
      <w:keepNext/>
      <w:jc w:val="center"/>
      <w:outlineLvl w:val="2"/>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mallCaps/>
      <w:sz w:val="28"/>
    </w:rPr>
  </w:style>
  <w:style w:type="paragraph" w:styleId="BodyTextIndent">
    <w:name w:val="Body Text Indent"/>
    <w:basedOn w:val="Normal"/>
    <w:pPr>
      <w:spacing w:line="360" w:lineRule="auto"/>
      <w:ind w:left="36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DF2CC1"/>
    <w:pPr>
      <w:ind w:left="720"/>
    </w:pPr>
  </w:style>
  <w:style w:type="table" w:styleId="TableGrid">
    <w:name w:val="Table Grid"/>
    <w:basedOn w:val="TableNormal"/>
    <w:rsid w:val="005A543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93682"/>
    <w:rPr>
      <w:rFonts w:ascii="Segoe UI" w:hAnsi="Segoe UI" w:cs="Segoe UI"/>
      <w:sz w:val="18"/>
      <w:szCs w:val="18"/>
    </w:rPr>
  </w:style>
  <w:style w:type="character" w:customStyle="1" w:styleId="BalloonTextChar">
    <w:name w:val="Balloon Text Char"/>
    <w:basedOn w:val="DefaultParagraphFont"/>
    <w:link w:val="BalloonText"/>
    <w:semiHidden/>
    <w:rsid w:val="00793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AC1E1AD3</Template>
  <TotalTime>9</TotalTime>
  <Pages>1</Pages>
  <Words>501</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Iodination Of Acetone</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Iodination Of Acetone</dc:title>
  <dc:creator>Patrick</dc:creator>
  <cp:lastModifiedBy>Estes, Patrick [DH]</cp:lastModifiedBy>
  <cp:revision>5</cp:revision>
  <cp:lastPrinted>2018-05-01T15:55:00Z</cp:lastPrinted>
  <dcterms:created xsi:type="dcterms:W3CDTF">2018-05-01T16:05:00Z</dcterms:created>
  <dcterms:modified xsi:type="dcterms:W3CDTF">2018-05-02T17:48:00Z</dcterms:modified>
</cp:coreProperties>
</file>