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2E" w:rsidRPr="009D7F98" w:rsidRDefault="00CC582E" w:rsidP="00CC582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9913" wp14:editId="362837DC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C582E" w:rsidRPr="009D7F98" w:rsidRDefault="00CC582E" w:rsidP="00CC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79913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:rsidR="00CC582E" w:rsidRPr="009D7F98" w:rsidRDefault="00CC582E" w:rsidP="00CC582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:rsidR="00837223" w:rsidRDefault="00CC582E">
      <w:pPr>
        <w:rPr>
          <w:rFonts w:ascii="Arial" w:hAnsi="Arial" w:cs="Arial"/>
          <w:sz w:val="20"/>
        </w:rPr>
      </w:pPr>
      <w:r>
        <w:br/>
      </w:r>
      <w:r w:rsidRPr="00CC582E">
        <w:rPr>
          <w:rFonts w:ascii="Arial" w:hAnsi="Arial" w:cs="Arial"/>
          <w:b/>
          <w:sz w:val="20"/>
        </w:rPr>
        <w:t xml:space="preserve">Directions: </w:t>
      </w:r>
      <w:r w:rsidRPr="00CC582E">
        <w:rPr>
          <w:rFonts w:ascii="Arial" w:hAnsi="Arial" w:cs="Arial"/>
          <w:sz w:val="20"/>
        </w:rPr>
        <w:t>Use the rules for Assigning Oxidation numbers to determine the oxidation number assigned to each element in each of the given formulas.</w:t>
      </w:r>
      <w:r w:rsidR="00AE4649">
        <w:rPr>
          <w:rFonts w:ascii="Arial" w:hAnsi="Arial" w:cs="Arial"/>
          <w:sz w:val="20"/>
        </w:rPr>
        <w:t xml:space="preserve"> The rules are at the bottom of the page. </w:t>
      </w:r>
    </w:p>
    <w:tbl>
      <w:tblPr>
        <w:tblW w:w="108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709"/>
        <w:gridCol w:w="1325"/>
        <w:gridCol w:w="1260"/>
        <w:gridCol w:w="220"/>
        <w:gridCol w:w="450"/>
        <w:gridCol w:w="2070"/>
        <w:gridCol w:w="1170"/>
        <w:gridCol w:w="1080"/>
        <w:gridCol w:w="1080"/>
      </w:tblGrid>
      <w:tr w:rsidR="00CC582E" w:rsidRPr="00CC582E" w:rsidTr="00AE4649">
        <w:trPr>
          <w:trHeight w:val="230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C582E" w:rsidRPr="00CC582E" w:rsidRDefault="00CC582E" w:rsidP="00CC582E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Q #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CC582E" w:rsidRPr="00CC582E" w:rsidRDefault="00CC582E" w:rsidP="00CC582E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Formula</w:t>
            </w:r>
          </w:p>
        </w:tc>
        <w:tc>
          <w:tcPr>
            <w:tcW w:w="2585" w:type="dxa"/>
            <w:gridSpan w:val="2"/>
            <w:shd w:val="clear" w:color="auto" w:fill="D9D9D9" w:themeFill="background1" w:themeFillShade="D9"/>
            <w:vAlign w:val="center"/>
          </w:tcPr>
          <w:p w:rsidR="00CC582E" w:rsidRPr="00CC582E" w:rsidRDefault="00CC582E" w:rsidP="00CC582E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Oxidation #’s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C582E" w:rsidRPr="00CC582E" w:rsidRDefault="00CC582E" w:rsidP="00CC582E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Q 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CC582E" w:rsidRPr="00CC582E" w:rsidRDefault="00CC582E" w:rsidP="00CC582E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Formula</w:t>
            </w:r>
          </w:p>
        </w:tc>
        <w:tc>
          <w:tcPr>
            <w:tcW w:w="3330" w:type="dxa"/>
            <w:gridSpan w:val="3"/>
            <w:shd w:val="clear" w:color="auto" w:fill="D9D9D9" w:themeFill="background1" w:themeFillShade="D9"/>
            <w:vAlign w:val="center"/>
          </w:tcPr>
          <w:p w:rsidR="00CC582E" w:rsidRPr="00CC582E" w:rsidRDefault="00CC582E" w:rsidP="00CC582E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Oxidation #’s</w:t>
            </w:r>
          </w:p>
        </w:tc>
      </w:tr>
      <w:tr w:rsidR="00AE4649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Cl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4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Cl</w:t>
            </w:r>
          </w:p>
        </w:tc>
        <w:tc>
          <w:tcPr>
            <w:tcW w:w="1260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Na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Pr="00CC582E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4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4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Cl</w:t>
            </w:r>
            <w:r w:rsidRPr="00CC582E">
              <w:rPr>
                <w:rFonts w:ascii="Arial" w:hAnsi="Arial" w:cs="Arial"/>
                <w:b/>
                <w:sz w:val="20"/>
                <w:vertAlign w:val="superscript"/>
              </w:rPr>
              <w:t>-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Cl</w:t>
            </w:r>
          </w:p>
        </w:tc>
        <w:tc>
          <w:tcPr>
            <w:tcW w:w="1260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HNO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N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</w:tr>
      <w:tr w:rsidR="00AE4649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Na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1260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CaCl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Ca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E4649" w:rsidRPr="00CC582E" w:rsidTr="00EB47C1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Na</w:t>
            </w:r>
            <w:r w:rsidRPr="00CC582E">
              <w:rPr>
                <w:rFonts w:ascii="Arial" w:hAnsi="Arial" w:cs="Arial"/>
                <w:b/>
                <w:sz w:val="20"/>
                <w:vertAlign w:val="superscript"/>
              </w:rPr>
              <w:t>+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1260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C582E" w:rsidRPr="00CC582E" w:rsidRDefault="00CC582E" w:rsidP="00EB47C1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PO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4</w:t>
            </w:r>
            <w:bookmarkStart w:id="0" w:name="_GoBack"/>
            <w:r w:rsidR="00EB47C1" w:rsidRPr="00EB47C1">
              <w:rPr>
                <w:rFonts w:ascii="Arial" w:hAnsi="Arial" w:cs="Arial"/>
                <w:b/>
                <w:sz w:val="20"/>
                <w:vertAlign w:val="superscript"/>
              </w:rPr>
              <w:t>3-</w:t>
            </w:r>
            <w:bookmarkEnd w:id="0"/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P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proofErr w:type="spellStart"/>
            <w:r w:rsidRPr="00CC582E">
              <w:rPr>
                <w:rFonts w:ascii="Arial" w:hAnsi="Arial" w:cs="Arial"/>
                <w:b/>
                <w:sz w:val="20"/>
              </w:rPr>
              <w:t>KCl</w:t>
            </w:r>
            <w:proofErr w:type="spellEnd"/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K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Cl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MnO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proofErr w:type="spellStart"/>
            <w:r w:rsidRPr="00CC582E">
              <w:rPr>
                <w:rFonts w:ascii="Arial" w:hAnsi="Arial" w:cs="Arial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AE4649">
        <w:trPr>
          <w:trHeight w:val="458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H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Pr="00CC582E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S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K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3</w:t>
            </w:r>
            <w:r w:rsidRPr="00CC582E">
              <w:rPr>
                <w:rFonts w:ascii="Arial" w:hAnsi="Arial" w:cs="Arial"/>
                <w:b/>
                <w:sz w:val="20"/>
              </w:rPr>
              <w:t>PO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4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K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P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proofErr w:type="spellStart"/>
            <w:r w:rsidRPr="00CC582E">
              <w:rPr>
                <w:rFonts w:ascii="Arial" w:hAnsi="Arial" w:cs="Arial"/>
                <w:b/>
                <w:sz w:val="20"/>
              </w:rPr>
              <w:t>CaO</w:t>
            </w:r>
            <w:proofErr w:type="spellEnd"/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Ca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Fe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Pr="00CC582E">
              <w:rPr>
                <w:rFonts w:ascii="Arial" w:hAnsi="Arial" w:cs="Arial"/>
                <w:b/>
                <w:sz w:val="20"/>
              </w:rPr>
              <w:t>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Fe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H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Pr="00CC582E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KNO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K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N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</w:tr>
      <w:tr w:rsidR="00CC582E" w:rsidRPr="00CC582E" w:rsidTr="00EB47C1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CC582E" w:rsidRPr="00CC582E" w:rsidRDefault="00CC582E" w:rsidP="00EB47C1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3</w:t>
            </w:r>
            <w:r w:rsidR="00EB47C1" w:rsidRPr="00EB47C1">
              <w:rPr>
                <w:rFonts w:ascii="Arial" w:hAnsi="Arial" w:cs="Arial"/>
                <w:b/>
                <w:sz w:val="20"/>
                <w:vertAlign w:val="superscript"/>
              </w:rPr>
              <w:t>-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N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N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74"/>
              <w:ind w:left="108"/>
              <w:rPr>
                <w:rFonts w:ascii="Arial" w:hAnsi="Arial" w:cs="Arial"/>
                <w:b/>
                <w:sz w:val="13"/>
              </w:rPr>
            </w:pPr>
            <w:r w:rsidRPr="00CC582E">
              <w:rPr>
                <w:rFonts w:ascii="Arial" w:hAnsi="Arial" w:cs="Arial"/>
                <w:b/>
                <w:position w:val="-9"/>
                <w:sz w:val="20"/>
              </w:rPr>
              <w:t>Al</w:t>
            </w:r>
            <w:r w:rsidRPr="00CC582E">
              <w:rPr>
                <w:rFonts w:ascii="Arial" w:hAnsi="Arial" w:cs="Arial"/>
                <w:b/>
                <w:sz w:val="13"/>
              </w:rPr>
              <w:t>3+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AE4649">
        <w:trPr>
          <w:trHeight w:val="458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CC582E" w:rsidRPr="00CC582E" w:rsidRDefault="00EB47C1" w:rsidP="00CC582E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CC582E" w:rsidRPr="00CC582E">
              <w:rPr>
                <w:rFonts w:ascii="Arial" w:hAnsi="Arial" w:cs="Arial"/>
                <w:b/>
                <w:sz w:val="20"/>
              </w:rPr>
              <w:t>Cr</w:t>
            </w:r>
            <w:r w:rsidR="00CC582E"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="00CC582E" w:rsidRPr="00CC582E">
              <w:rPr>
                <w:rFonts w:ascii="Arial" w:hAnsi="Arial" w:cs="Arial"/>
                <w:b/>
                <w:sz w:val="20"/>
              </w:rPr>
              <w:t>O</w:t>
            </w:r>
            <w:r w:rsidR="00CC582E" w:rsidRPr="00CC582E">
              <w:rPr>
                <w:rFonts w:ascii="Arial" w:hAnsi="Arial" w:cs="Arial"/>
                <w:b/>
                <w:sz w:val="20"/>
                <w:vertAlign w:val="subscript"/>
              </w:rPr>
              <w:t>7</w:t>
            </w:r>
            <w:r w:rsidR="00CC582E" w:rsidRPr="00CC582E">
              <w:rPr>
                <w:rFonts w:ascii="Arial" w:hAnsi="Arial" w:cs="Arial"/>
                <w:b/>
                <w:sz w:val="20"/>
                <w:vertAlign w:val="superscript"/>
              </w:rPr>
              <w:t>2-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H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Pr="00CC582E">
              <w:rPr>
                <w:rFonts w:ascii="Arial" w:hAnsi="Arial" w:cs="Arial"/>
                <w:b/>
                <w:sz w:val="20"/>
              </w:rPr>
              <w:t>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260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H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Pr="00CC582E">
              <w:rPr>
                <w:rFonts w:ascii="Arial" w:hAnsi="Arial" w:cs="Arial"/>
                <w:b/>
                <w:sz w:val="20"/>
              </w:rPr>
              <w:t>SO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4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S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NH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3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N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NH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4</w:t>
            </w:r>
            <w:r w:rsidRPr="00CC582E">
              <w:rPr>
                <w:rFonts w:ascii="Arial" w:hAnsi="Arial" w:cs="Arial"/>
                <w:b/>
                <w:sz w:val="20"/>
              </w:rPr>
              <w:t>Cl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N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Cl</w:t>
            </w:r>
          </w:p>
        </w:tc>
      </w:tr>
      <w:tr w:rsidR="00CC582E" w:rsidRPr="00CC582E" w:rsidTr="00AE4649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CaH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Ca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H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proofErr w:type="spellStart"/>
            <w:r w:rsidRPr="00CC582E">
              <w:rPr>
                <w:rFonts w:ascii="Arial" w:hAnsi="Arial" w:cs="Arial"/>
                <w:b/>
                <w:sz w:val="20"/>
              </w:rPr>
              <w:t>FeO</w:t>
            </w:r>
            <w:proofErr w:type="spellEnd"/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Fe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C582E" w:rsidRPr="00CC582E" w:rsidTr="00EB47C1">
        <w:trPr>
          <w:trHeight w:val="460"/>
        </w:trPr>
        <w:tc>
          <w:tcPr>
            <w:tcW w:w="494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CC582E" w:rsidRPr="00CC582E" w:rsidRDefault="00CC582E" w:rsidP="00EB47C1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SO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4</w:t>
            </w:r>
            <w:r w:rsidR="00EB47C1" w:rsidRPr="00EB47C1">
              <w:rPr>
                <w:rFonts w:ascii="Arial" w:hAnsi="Arial" w:cs="Arial"/>
                <w:b/>
                <w:sz w:val="20"/>
                <w:vertAlign w:val="superscript"/>
              </w:rPr>
              <w:t>2-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S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CC582E" w:rsidRPr="00CC582E" w:rsidRDefault="00CC582E" w:rsidP="00CC582E">
            <w:pPr>
              <w:pStyle w:val="TableParagraph"/>
              <w:spacing w:before="112"/>
              <w:ind w:left="106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C582E" w:rsidRPr="00CC582E" w:rsidRDefault="00CC582E" w:rsidP="00CC582E">
            <w:pPr>
              <w:pStyle w:val="TableParagraph"/>
              <w:numPr>
                <w:ilvl w:val="0"/>
                <w:numId w:val="5"/>
              </w:numPr>
              <w:spacing w:before="1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CC582E" w:rsidRPr="00CC582E" w:rsidRDefault="00CC582E" w:rsidP="00CC582E">
            <w:pPr>
              <w:pStyle w:val="TableParagraph"/>
              <w:spacing w:before="110"/>
              <w:ind w:left="108"/>
              <w:rPr>
                <w:rFonts w:ascii="Arial" w:hAnsi="Arial" w:cs="Arial"/>
                <w:b/>
                <w:sz w:val="20"/>
              </w:rPr>
            </w:pPr>
            <w:r w:rsidRPr="00CC582E">
              <w:rPr>
                <w:rFonts w:ascii="Arial" w:hAnsi="Arial" w:cs="Arial"/>
                <w:b/>
                <w:sz w:val="20"/>
              </w:rPr>
              <w:t>SiO</w:t>
            </w:r>
            <w:r w:rsidRPr="00CC582E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8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080" w:type="dxa"/>
          </w:tcPr>
          <w:p w:rsidR="00CC582E" w:rsidRPr="00CC582E" w:rsidRDefault="00CC582E" w:rsidP="00CC582E">
            <w:pPr>
              <w:pStyle w:val="TableParagraph"/>
              <w:spacing w:before="112"/>
              <w:ind w:left="107"/>
              <w:rPr>
                <w:rFonts w:ascii="Arial" w:hAnsi="Arial" w:cs="Arial"/>
                <w:sz w:val="20"/>
              </w:rPr>
            </w:pPr>
            <w:r w:rsidRPr="00CC582E">
              <w:rPr>
                <w:rFonts w:ascii="Arial" w:hAnsi="Arial" w:cs="Arial"/>
                <w:w w:val="99"/>
                <w:sz w:val="20"/>
              </w:rPr>
              <w:t>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C582E" w:rsidRPr="00CC582E" w:rsidRDefault="00CC582E" w:rsidP="00CC58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CC582E" w:rsidRPr="00CC582E" w:rsidRDefault="00AE464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491319</wp:posOffset>
                </wp:positionH>
                <wp:positionV relativeFrom="paragraph">
                  <wp:posOffset>240267</wp:posOffset>
                </wp:positionV>
                <wp:extent cx="6924675" cy="2947916"/>
                <wp:effectExtent l="0" t="0" r="2857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9479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82E" w:rsidRPr="00AE4649" w:rsidRDefault="00CC582E" w:rsidP="00AE4649">
                            <w:pPr>
                              <w:spacing w:after="0" w:line="240" w:lineRule="auto"/>
                              <w:ind w:left="3548"/>
                              <w:rPr>
                                <w:rFonts w:ascii="Impact" w:hAnsi="Impact"/>
                                <w:sz w:val="24"/>
                                <w:u w:val="single"/>
                              </w:rPr>
                            </w:pPr>
                            <w:r w:rsidRPr="00AE4649">
                              <w:rPr>
                                <w:rFonts w:ascii="Impact" w:hAnsi="Impact"/>
                                <w:sz w:val="24"/>
                                <w:u w:val="single"/>
                              </w:rPr>
                              <w:t>Rules for Assigning Oxidation Numbers</w:t>
                            </w:r>
                            <w:r w:rsidR="00AE4649">
                              <w:rPr>
                                <w:rFonts w:ascii="Impact" w:hAnsi="Impact"/>
                                <w:sz w:val="24"/>
                                <w:u w:val="single"/>
                              </w:rPr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>The oxidation number of any uncombined element is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0.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>The oxidation number of a monatomic ion equals the charge on the</w:t>
                            </w:r>
                            <w:r w:rsidRPr="00AE4649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AE4649">
                              <w:t>ion.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>The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more-electronegative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element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in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a</w:t>
                            </w:r>
                            <w:r w:rsidRPr="00AE4649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E4649">
                              <w:t>binary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compound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is</w:t>
                            </w:r>
                            <w:r w:rsidRPr="00AE464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E4649">
                              <w:t>assigned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the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number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equal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to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the</w:t>
                            </w:r>
                            <w:r w:rsidRPr="00AE4649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E4649">
                              <w:t>charge</w:t>
                            </w:r>
                            <w:r w:rsidRPr="00AE464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E4649">
                              <w:t>it would have if it were an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ion.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>The oxidation number o</w:t>
                            </w:r>
                            <w:r w:rsidR="00AE4649" w:rsidRPr="00AE4649">
                              <w:t>f</w:t>
                            </w:r>
                            <w:r w:rsidRPr="00AE4649">
                              <w:t xml:space="preserve"> fluorine in a compound is always</w:t>
                            </w:r>
                            <w:r w:rsidRPr="00AE4649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E4649">
                              <w:t>-1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>Oxygen</w:t>
                            </w:r>
                            <w:r w:rsidRPr="00AE464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E4649">
                              <w:t>has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an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oxidation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number of -2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unless</w:t>
                            </w:r>
                            <w:r w:rsidRPr="00AE464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E4649">
                              <w:t>it</w:t>
                            </w:r>
                            <w:r w:rsidRPr="00AE464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E4649">
                              <w:t>is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combined with</w:t>
                            </w:r>
                            <w:r w:rsidRPr="00AE464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E4649">
                              <w:t>F, when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it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is</w:t>
                            </w:r>
                            <w:r w:rsidRPr="00AE464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E4649">
                              <w:t>+2,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or it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is</w:t>
                            </w:r>
                            <w:r w:rsidRPr="00AE464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E4649">
                              <w:t>in</w:t>
                            </w:r>
                            <w:r w:rsidRPr="00AE464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E4649">
                              <w:t>a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peroxide, such as H</w:t>
                            </w:r>
                            <w:r w:rsidRPr="00AE4649">
                              <w:rPr>
                                <w:vertAlign w:val="subscript"/>
                              </w:rPr>
                              <w:t>2</w:t>
                            </w:r>
                            <w:r w:rsidRPr="00AE4649">
                              <w:t>O</w:t>
                            </w:r>
                            <w:r w:rsidRPr="00AE4649">
                              <w:rPr>
                                <w:vertAlign w:val="subscript"/>
                              </w:rPr>
                              <w:t>2</w:t>
                            </w:r>
                            <w:r w:rsidRPr="00AE4649">
                              <w:t>, when it is</w:t>
                            </w:r>
                            <w:r w:rsidRPr="00AE464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E4649">
                              <w:t>-1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 xml:space="preserve">The oxidation state of </w:t>
                            </w:r>
                            <w:r w:rsidR="00AE4649" w:rsidRPr="00AE4649">
                              <w:t>H</w:t>
                            </w:r>
                            <w:r w:rsidRPr="00AE4649">
                              <w:t xml:space="preserve"> in most of its compounds is +1 unless it is combined with a metal, in which case it is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-1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>In</w:t>
                            </w:r>
                            <w:r w:rsidRPr="00AE464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E4649">
                              <w:t>compounds, the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elements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of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groups</w:t>
                            </w:r>
                            <w:r w:rsidRPr="00AE464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E4649">
                              <w:t>1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and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2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as</w:t>
                            </w:r>
                            <w:r w:rsidRPr="00AE464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E4649">
                              <w:t>well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as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aluminum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have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oxidation</w:t>
                            </w:r>
                            <w:r w:rsidRPr="00AE464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E4649">
                              <w:t>numbers</w:t>
                            </w:r>
                            <w:r w:rsidRPr="00AE464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E4649">
                              <w:t>+1,</w:t>
                            </w:r>
                            <w:r w:rsidRPr="00AE464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E4649">
                              <w:t>+2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and</w:t>
                            </w:r>
                            <w:r w:rsidRPr="00AE464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E4649">
                              <w:t>+3 respectively.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  <w:rPr>
                                <w:sz w:val="10"/>
                              </w:rPr>
                            </w:pPr>
                            <w:r w:rsidRPr="00AE4649">
                              <w:t>The sum of the oxidation numbers of all atoms in a neutral compound is</w:t>
                            </w:r>
                            <w:r w:rsidRPr="00AE4649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AE4649">
                              <w:t>0.</w:t>
                            </w:r>
                            <w:r w:rsidR="00AE4649">
                              <w:br/>
                            </w:r>
                          </w:p>
                          <w:p w:rsidR="00CC582E" w:rsidRPr="00AE4649" w:rsidRDefault="00CC582E" w:rsidP="00AE4649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ind w:left="540" w:right="266"/>
                            </w:pPr>
                            <w:r w:rsidRPr="00AE4649">
                              <w:t>The sum of the oxidation numbers of all atoms in a polyatomic ion equals charge of the</w:t>
                            </w:r>
                            <w:r w:rsidRPr="00AE4649">
                              <w:rPr>
                                <w:spacing w:val="-27"/>
                              </w:rPr>
                              <w:t xml:space="preserve"> </w:t>
                            </w:r>
                            <w:r w:rsidRPr="00AE4649">
                              <w:t>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.7pt;margin-top:18.9pt;width:545.25pt;height:23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TniAIAACA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" filled="f">
                <v:textbox inset="0,0,0,0">
                  <w:txbxContent>
                    <w:p w:rsidR="00CC582E" w:rsidRPr="00AE4649" w:rsidRDefault="00CC582E" w:rsidP="00AE4649">
                      <w:pPr>
                        <w:spacing w:after="0" w:line="240" w:lineRule="auto"/>
                        <w:ind w:left="3548"/>
                        <w:rPr>
                          <w:rFonts w:ascii="Impact" w:hAnsi="Impact"/>
                          <w:sz w:val="24"/>
                          <w:u w:val="single"/>
                        </w:rPr>
                      </w:pPr>
                      <w:r w:rsidRPr="00AE4649">
                        <w:rPr>
                          <w:rFonts w:ascii="Impact" w:hAnsi="Impact"/>
                          <w:sz w:val="24"/>
                          <w:u w:val="single"/>
                        </w:rPr>
                        <w:t>Rules for Assigning Oxidation Numbers</w:t>
                      </w:r>
                      <w:r w:rsidR="00AE4649">
                        <w:rPr>
                          <w:rFonts w:ascii="Impact" w:hAnsi="Impact"/>
                          <w:sz w:val="24"/>
                          <w:u w:val="single"/>
                        </w:rPr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4"/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>The oxidation number of any uncombined element is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0.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>The oxidation number of a monatomic ion equals the charge on the</w:t>
                      </w:r>
                      <w:r w:rsidRPr="00AE4649">
                        <w:rPr>
                          <w:spacing w:val="-9"/>
                        </w:rPr>
                        <w:t xml:space="preserve"> </w:t>
                      </w:r>
                      <w:r w:rsidRPr="00AE4649">
                        <w:t>ion.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>The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more-electronegative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element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in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a</w:t>
                      </w:r>
                      <w:r w:rsidRPr="00AE4649">
                        <w:rPr>
                          <w:spacing w:val="-6"/>
                        </w:rPr>
                        <w:t xml:space="preserve"> </w:t>
                      </w:r>
                      <w:r w:rsidRPr="00AE4649">
                        <w:t>binary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compound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is</w:t>
                      </w:r>
                      <w:r w:rsidRPr="00AE4649">
                        <w:rPr>
                          <w:spacing w:val="-5"/>
                        </w:rPr>
                        <w:t xml:space="preserve"> </w:t>
                      </w:r>
                      <w:r w:rsidRPr="00AE4649">
                        <w:t>assigned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the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number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equal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to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the</w:t>
                      </w:r>
                      <w:r w:rsidRPr="00AE4649">
                        <w:rPr>
                          <w:spacing w:val="-6"/>
                        </w:rPr>
                        <w:t xml:space="preserve"> </w:t>
                      </w:r>
                      <w:r w:rsidRPr="00AE4649">
                        <w:t>charge</w:t>
                      </w:r>
                      <w:r w:rsidRPr="00AE4649">
                        <w:rPr>
                          <w:spacing w:val="-5"/>
                        </w:rPr>
                        <w:t xml:space="preserve"> </w:t>
                      </w:r>
                      <w:r w:rsidRPr="00AE4649">
                        <w:t>it would have if it were an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ion.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>The oxidation number o</w:t>
                      </w:r>
                      <w:r w:rsidR="00AE4649" w:rsidRPr="00AE4649">
                        <w:t>f</w:t>
                      </w:r>
                      <w:r w:rsidRPr="00AE4649">
                        <w:t xml:space="preserve"> fluorine in a compound is always</w:t>
                      </w:r>
                      <w:r w:rsidRPr="00AE4649">
                        <w:rPr>
                          <w:spacing w:val="-6"/>
                        </w:rPr>
                        <w:t xml:space="preserve"> </w:t>
                      </w:r>
                      <w:r w:rsidRPr="00AE4649">
                        <w:t>-1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>Oxygen</w:t>
                      </w:r>
                      <w:r w:rsidRPr="00AE4649">
                        <w:rPr>
                          <w:spacing w:val="-5"/>
                        </w:rPr>
                        <w:t xml:space="preserve"> </w:t>
                      </w:r>
                      <w:r w:rsidRPr="00AE4649">
                        <w:t>has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an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oxidation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number of -2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unless</w:t>
                      </w:r>
                      <w:r w:rsidRPr="00AE4649">
                        <w:rPr>
                          <w:spacing w:val="-1"/>
                        </w:rPr>
                        <w:t xml:space="preserve"> </w:t>
                      </w:r>
                      <w:r w:rsidRPr="00AE4649">
                        <w:t>it</w:t>
                      </w:r>
                      <w:r w:rsidRPr="00AE4649">
                        <w:rPr>
                          <w:spacing w:val="-5"/>
                        </w:rPr>
                        <w:t xml:space="preserve"> </w:t>
                      </w:r>
                      <w:r w:rsidRPr="00AE4649">
                        <w:t>is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combined with</w:t>
                      </w:r>
                      <w:r w:rsidRPr="00AE4649">
                        <w:rPr>
                          <w:spacing w:val="-1"/>
                        </w:rPr>
                        <w:t xml:space="preserve"> </w:t>
                      </w:r>
                      <w:r w:rsidRPr="00AE4649">
                        <w:t>F, when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it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is</w:t>
                      </w:r>
                      <w:r w:rsidRPr="00AE4649">
                        <w:rPr>
                          <w:spacing w:val="-1"/>
                        </w:rPr>
                        <w:t xml:space="preserve"> </w:t>
                      </w:r>
                      <w:r w:rsidRPr="00AE4649">
                        <w:t>+2,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or it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is</w:t>
                      </w:r>
                      <w:r w:rsidRPr="00AE4649">
                        <w:rPr>
                          <w:spacing w:val="-5"/>
                        </w:rPr>
                        <w:t xml:space="preserve"> </w:t>
                      </w:r>
                      <w:r w:rsidRPr="00AE4649">
                        <w:t>in</w:t>
                      </w:r>
                      <w:r w:rsidRPr="00AE4649">
                        <w:rPr>
                          <w:spacing w:val="-1"/>
                        </w:rPr>
                        <w:t xml:space="preserve"> </w:t>
                      </w:r>
                      <w:r w:rsidRPr="00AE4649">
                        <w:t>a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peroxide, such as H</w:t>
                      </w:r>
                      <w:r w:rsidRPr="00AE4649">
                        <w:rPr>
                          <w:vertAlign w:val="subscript"/>
                        </w:rPr>
                        <w:t>2</w:t>
                      </w:r>
                      <w:r w:rsidRPr="00AE4649">
                        <w:t>O</w:t>
                      </w:r>
                      <w:r w:rsidRPr="00AE4649">
                        <w:rPr>
                          <w:vertAlign w:val="subscript"/>
                        </w:rPr>
                        <w:t>2</w:t>
                      </w:r>
                      <w:r w:rsidRPr="00AE4649">
                        <w:t>, when it is</w:t>
                      </w:r>
                      <w:r w:rsidRPr="00AE4649">
                        <w:rPr>
                          <w:spacing w:val="-1"/>
                        </w:rPr>
                        <w:t xml:space="preserve"> </w:t>
                      </w:r>
                      <w:r w:rsidRPr="00AE4649">
                        <w:t>-1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 xml:space="preserve">The oxidation state of </w:t>
                      </w:r>
                      <w:r w:rsidR="00AE4649" w:rsidRPr="00AE4649">
                        <w:t>H</w:t>
                      </w:r>
                      <w:r w:rsidRPr="00AE4649">
                        <w:t xml:space="preserve"> in most of its compounds is +1 unless it is combined with a metal, in which case it is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-1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>In</w:t>
                      </w:r>
                      <w:r w:rsidRPr="00AE4649">
                        <w:rPr>
                          <w:spacing w:val="-5"/>
                        </w:rPr>
                        <w:t xml:space="preserve"> </w:t>
                      </w:r>
                      <w:r w:rsidRPr="00AE4649">
                        <w:t>compounds, the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elements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of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groups</w:t>
                      </w:r>
                      <w:r w:rsidRPr="00AE4649">
                        <w:rPr>
                          <w:spacing w:val="-1"/>
                        </w:rPr>
                        <w:t xml:space="preserve"> </w:t>
                      </w:r>
                      <w:r w:rsidRPr="00AE4649">
                        <w:t>1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and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2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as</w:t>
                      </w:r>
                      <w:r w:rsidRPr="00AE4649">
                        <w:rPr>
                          <w:spacing w:val="-1"/>
                        </w:rPr>
                        <w:t xml:space="preserve"> </w:t>
                      </w:r>
                      <w:r w:rsidRPr="00AE4649">
                        <w:t>well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as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aluminum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have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oxidation</w:t>
                      </w:r>
                      <w:r w:rsidRPr="00AE4649">
                        <w:rPr>
                          <w:spacing w:val="-4"/>
                        </w:rPr>
                        <w:t xml:space="preserve"> </w:t>
                      </w:r>
                      <w:r w:rsidRPr="00AE4649">
                        <w:t>numbers</w:t>
                      </w:r>
                      <w:r w:rsidRPr="00AE4649">
                        <w:rPr>
                          <w:spacing w:val="-5"/>
                        </w:rPr>
                        <w:t xml:space="preserve"> </w:t>
                      </w:r>
                      <w:r w:rsidRPr="00AE4649">
                        <w:t>+1,</w:t>
                      </w:r>
                      <w:r w:rsidRPr="00AE4649">
                        <w:rPr>
                          <w:spacing w:val="-3"/>
                        </w:rPr>
                        <w:t xml:space="preserve"> </w:t>
                      </w:r>
                      <w:r w:rsidRPr="00AE4649">
                        <w:t>+2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and</w:t>
                      </w:r>
                      <w:r w:rsidRPr="00AE4649">
                        <w:rPr>
                          <w:spacing w:val="-2"/>
                        </w:rPr>
                        <w:t xml:space="preserve"> </w:t>
                      </w:r>
                      <w:r w:rsidRPr="00AE4649">
                        <w:t>+3 respectively.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  <w:rPr>
                          <w:sz w:val="10"/>
                        </w:rPr>
                      </w:pPr>
                      <w:r w:rsidRPr="00AE4649">
                        <w:t>The sum of the oxidation numbers of all atoms in a neutral compound is</w:t>
                      </w:r>
                      <w:r w:rsidRPr="00AE4649">
                        <w:rPr>
                          <w:spacing w:val="-18"/>
                        </w:rPr>
                        <w:t xml:space="preserve"> </w:t>
                      </w:r>
                      <w:r w:rsidRPr="00AE4649">
                        <w:t>0.</w:t>
                      </w:r>
                      <w:r w:rsidR="00AE4649">
                        <w:br/>
                      </w:r>
                    </w:p>
                    <w:p w:rsidR="00CC582E" w:rsidRPr="00AE4649" w:rsidRDefault="00CC582E" w:rsidP="00AE4649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ind w:left="540" w:right="266"/>
                      </w:pPr>
                      <w:r w:rsidRPr="00AE4649">
                        <w:t>The sum of the oxidation numbers of all atoms in a polyatomic ion equals charge of the</w:t>
                      </w:r>
                      <w:r w:rsidRPr="00AE4649">
                        <w:rPr>
                          <w:spacing w:val="-27"/>
                        </w:rPr>
                        <w:t xml:space="preserve"> </w:t>
                      </w:r>
                      <w:r w:rsidRPr="00AE4649">
                        <w:t>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C582E" w:rsidRPr="00CC582E" w:rsidSect="00CC582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02" w:rsidRDefault="00403302" w:rsidP="00CC582E">
      <w:pPr>
        <w:spacing w:after="0" w:line="240" w:lineRule="auto"/>
      </w:pPr>
      <w:r>
        <w:separator/>
      </w:r>
    </w:p>
  </w:endnote>
  <w:endnote w:type="continuationSeparator" w:id="0">
    <w:p w:rsidR="00403302" w:rsidRDefault="00403302" w:rsidP="00CC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02" w:rsidRDefault="00403302" w:rsidP="00CC582E">
      <w:pPr>
        <w:spacing w:after="0" w:line="240" w:lineRule="auto"/>
      </w:pPr>
      <w:r>
        <w:separator/>
      </w:r>
    </w:p>
  </w:footnote>
  <w:footnote w:type="continuationSeparator" w:id="0">
    <w:p w:rsidR="00403302" w:rsidRDefault="00403302" w:rsidP="00CC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2E" w:rsidRDefault="00CC582E" w:rsidP="00CC582E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Redox – Oxidation Numbers </w:t>
    </w:r>
  </w:p>
  <w:p w:rsidR="00CC582E" w:rsidRPr="00CC582E" w:rsidRDefault="00CC582E" w:rsidP="00CC582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25B"/>
    <w:multiLevelType w:val="hybridMultilevel"/>
    <w:tmpl w:val="256E627E"/>
    <w:lvl w:ilvl="0" w:tplc="B656836C">
      <w:start w:val="1"/>
      <w:numFmt w:val="decimal"/>
      <w:lvlText w:val="%1)"/>
      <w:lvlJc w:val="left"/>
      <w:pPr>
        <w:ind w:left="361" w:hanging="361"/>
        <w:jc w:val="left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33689C1E"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en-US"/>
      </w:rPr>
    </w:lvl>
    <w:lvl w:ilvl="2" w:tplc="9CD669BA"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en-US"/>
      </w:rPr>
    </w:lvl>
    <w:lvl w:ilvl="3" w:tplc="829E6676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en-US"/>
      </w:rPr>
    </w:lvl>
    <w:lvl w:ilvl="4" w:tplc="12185FE8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en-US"/>
      </w:rPr>
    </w:lvl>
    <w:lvl w:ilvl="5" w:tplc="C742D616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en-US"/>
      </w:rPr>
    </w:lvl>
    <w:lvl w:ilvl="6" w:tplc="C146183A"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en-US"/>
      </w:rPr>
    </w:lvl>
    <w:lvl w:ilvl="7" w:tplc="EF22AFC2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en-US"/>
      </w:rPr>
    </w:lvl>
    <w:lvl w:ilvl="8" w:tplc="2658419E">
      <w:numFmt w:val="bullet"/>
      <w:lvlText w:val="•"/>
      <w:lvlJc w:val="left"/>
      <w:pPr>
        <w:ind w:left="8377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4F42B28"/>
    <w:multiLevelType w:val="hybridMultilevel"/>
    <w:tmpl w:val="8E4C7B3A"/>
    <w:lvl w:ilvl="0" w:tplc="D3BC56AA">
      <w:start w:val="1"/>
      <w:numFmt w:val="decimal"/>
      <w:lvlText w:val="%1."/>
      <w:lvlJc w:val="left"/>
      <w:pPr>
        <w:ind w:left="864" w:hanging="361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en-US" w:eastAsia="en-US" w:bidi="en-US"/>
      </w:rPr>
    </w:lvl>
    <w:lvl w:ilvl="1" w:tplc="33689C1E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en-US"/>
      </w:rPr>
    </w:lvl>
    <w:lvl w:ilvl="2" w:tplc="9CD669BA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en-US"/>
      </w:rPr>
    </w:lvl>
    <w:lvl w:ilvl="3" w:tplc="829E6676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en-US"/>
      </w:rPr>
    </w:lvl>
    <w:lvl w:ilvl="4" w:tplc="12185FE8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en-US"/>
      </w:rPr>
    </w:lvl>
    <w:lvl w:ilvl="5" w:tplc="C742D616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en-US"/>
      </w:rPr>
    </w:lvl>
    <w:lvl w:ilvl="6" w:tplc="C146183A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en-US"/>
      </w:rPr>
    </w:lvl>
    <w:lvl w:ilvl="7" w:tplc="EF22AFC2">
      <w:numFmt w:val="bullet"/>
      <w:lvlText w:val="•"/>
      <w:lvlJc w:val="left"/>
      <w:pPr>
        <w:ind w:left="7877" w:hanging="361"/>
      </w:pPr>
      <w:rPr>
        <w:rFonts w:hint="default"/>
        <w:lang w:val="en-US" w:eastAsia="en-US" w:bidi="en-US"/>
      </w:rPr>
    </w:lvl>
    <w:lvl w:ilvl="8" w:tplc="2658419E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92B297A"/>
    <w:multiLevelType w:val="hybridMultilevel"/>
    <w:tmpl w:val="F5B486E2"/>
    <w:lvl w:ilvl="0" w:tplc="6F56A6F4">
      <w:start w:val="1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4115"/>
    <w:multiLevelType w:val="hybridMultilevel"/>
    <w:tmpl w:val="28CA102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800C19"/>
    <w:multiLevelType w:val="hybridMultilevel"/>
    <w:tmpl w:val="778A4E9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4D3A27"/>
    <w:multiLevelType w:val="hybridMultilevel"/>
    <w:tmpl w:val="4546E2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85544"/>
    <w:multiLevelType w:val="hybridMultilevel"/>
    <w:tmpl w:val="CC72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2E"/>
    <w:rsid w:val="001353C8"/>
    <w:rsid w:val="00403302"/>
    <w:rsid w:val="0040635B"/>
    <w:rsid w:val="005A7C5E"/>
    <w:rsid w:val="005D1EC3"/>
    <w:rsid w:val="00650AD1"/>
    <w:rsid w:val="00AE4649"/>
    <w:rsid w:val="00C53445"/>
    <w:rsid w:val="00CC582E"/>
    <w:rsid w:val="00E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7B8A"/>
  <w15:chartTrackingRefBased/>
  <w15:docId w15:val="{1649DD82-40EA-41E9-94E5-07C9595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2E"/>
  </w:style>
  <w:style w:type="paragraph" w:styleId="Footer">
    <w:name w:val="footer"/>
    <w:basedOn w:val="Normal"/>
    <w:link w:val="FooterChar"/>
    <w:uiPriority w:val="99"/>
    <w:unhideWhenUsed/>
    <w:rsid w:val="00CC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82E"/>
  </w:style>
  <w:style w:type="paragraph" w:customStyle="1" w:styleId="Default">
    <w:name w:val="Default"/>
    <w:rsid w:val="00CC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5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C5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582E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2020-05-04T00:06:00Z</dcterms:created>
  <dcterms:modified xsi:type="dcterms:W3CDTF">2021-05-20T15:38:00Z</dcterms:modified>
</cp:coreProperties>
</file>