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9"/>
        <w:gridCol w:w="1531"/>
      </w:tblGrid>
      <w:tr>
        <w:trPr>
          <w:trHeight w:val="413" w:hRule="atLeast"/>
        </w:trPr>
        <w:tc>
          <w:tcPr>
            <w:tcW w:w="11270" w:type="dxa"/>
            <w:gridSpan w:val="2"/>
          </w:tcPr>
          <w:p>
            <w:pPr>
              <w:pStyle w:val="TableParagraph"/>
              <w:spacing w:line="394" w:lineRule="exact"/>
              <w:ind w:left="1734"/>
              <w:rPr>
                <w:b/>
                <w:sz w:val="36"/>
              </w:rPr>
            </w:pPr>
            <w:r>
              <w:rPr>
                <w:b/>
                <w:sz w:val="36"/>
              </w:rPr>
              <w:t>Solubility of Some Ionic Compounds in Water</w:t>
            </w:r>
          </w:p>
        </w:tc>
      </w:tr>
      <w:tr>
        <w:trPr>
          <w:trHeight w:val="2716" w:hRule="atLeast"/>
        </w:trPr>
        <w:tc>
          <w:tcPr>
            <w:tcW w:w="9739" w:type="dxa"/>
          </w:tcPr>
          <w:p>
            <w:pPr>
              <w:pStyle w:val="TableParagraph"/>
              <w:spacing w:line="452" w:lineRule="exact"/>
              <w:ind w:left="107"/>
              <w:rPr>
                <w:i/>
                <w:sz w:val="40"/>
              </w:rPr>
            </w:pPr>
            <w:r>
              <w:rPr>
                <w:i/>
                <w:sz w:val="40"/>
              </w:rPr>
              <w:t>Always Soluble</w:t>
            </w:r>
          </w:p>
          <w:p>
            <w:pPr>
              <w:pStyle w:val="TableParagraph"/>
              <w:spacing w:line="368" w:lineRule="exact" w:before="368"/>
              <w:ind w:left="107"/>
              <w:rPr>
                <w:sz w:val="32"/>
              </w:rPr>
            </w:pPr>
            <w:r>
              <w:rPr>
                <w:sz w:val="32"/>
              </w:rPr>
              <w:t>Alkali metals (Li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, Na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, K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, Rb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, Cs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), NH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  <w:vertAlign w:val="superscript"/>
              </w:rPr>
              <w:t>+</w:t>
            </w:r>
          </w:p>
          <w:p>
            <w:pPr>
              <w:pStyle w:val="TableParagraph"/>
              <w:spacing w:line="278" w:lineRule="exact"/>
              <w:ind w:left="430"/>
              <w:jc w:val="center"/>
              <w:rPr>
                <w:sz w:val="32"/>
              </w:rPr>
            </w:pPr>
            <w:r>
              <w:rPr>
                <w:sz w:val="32"/>
              </w:rPr>
              <w:t>Nitrate = NO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 Chlorate = ClO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 Perchlorate = ClO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 Acetate =</w:t>
            </w:r>
          </w:p>
          <w:p>
            <w:pPr>
              <w:pStyle w:val="TableParagraph"/>
              <w:tabs>
                <w:tab w:pos="3102" w:val="left" w:leader="none"/>
                <w:tab w:pos="6065" w:val="left" w:leader="none"/>
              </w:tabs>
              <w:spacing w:line="121" w:lineRule="exact"/>
              <w:ind w:left="568"/>
              <w:jc w:val="center"/>
              <w:rPr>
                <w:sz w:val="21"/>
              </w:rPr>
            </w:pPr>
            <w:r>
              <w:rPr>
                <w:sz w:val="21"/>
              </w:rPr>
              <w:t>3</w:t>
              <w:tab/>
              <w:t>3</w:t>
              <w:tab/>
              <w:t>4</w:t>
            </w:r>
          </w:p>
          <w:p>
            <w:pPr>
              <w:pStyle w:val="TableParagraph"/>
              <w:spacing w:line="271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sz w:val="32"/>
              </w:rPr>
              <w:t>C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  <w:vertAlign w:val="baseline"/>
              </w:rPr>
              <w:t>H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  <w:vertAlign w:val="baseline"/>
              </w:rPr>
              <w:t>O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</w:p>
          <w:p>
            <w:pPr>
              <w:pStyle w:val="TableParagraph"/>
              <w:spacing w:line="128" w:lineRule="exact"/>
              <w:ind w:left="105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mnemonics</w:t>
            </w:r>
          </w:p>
        </w:tc>
      </w:tr>
      <w:tr>
        <w:trPr>
          <w:trHeight w:val="2347" w:hRule="atLeast"/>
        </w:trPr>
        <w:tc>
          <w:tcPr>
            <w:tcW w:w="9739" w:type="dxa"/>
          </w:tcPr>
          <w:p>
            <w:pPr>
              <w:pStyle w:val="TableParagraph"/>
              <w:spacing w:line="451" w:lineRule="exact"/>
              <w:ind w:left="107"/>
              <w:rPr>
                <w:i/>
                <w:sz w:val="40"/>
              </w:rPr>
            </w:pPr>
            <w:r>
              <w:rPr>
                <w:i/>
                <w:sz w:val="40"/>
              </w:rPr>
              <w:t>Generally soluble</w:t>
            </w:r>
          </w:p>
          <w:p>
            <w:pPr>
              <w:pStyle w:val="TableParagraph"/>
              <w:tabs>
                <w:tab w:pos="1945" w:val="left" w:leader="none"/>
              </w:tabs>
              <w:spacing w:line="95" w:lineRule="exact" w:before="367"/>
              <w:ind w:left="107"/>
              <w:rPr>
                <w:sz w:val="32"/>
              </w:rPr>
            </w:pPr>
            <w:r>
              <w:rPr>
                <w:sz w:val="32"/>
              </w:rPr>
              <w:t>Cl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4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Br</w:t>
            </w:r>
            <w:r>
              <w:rPr>
                <w:sz w:val="32"/>
                <w:vertAlign w:val="superscript"/>
              </w:rPr>
              <w:t>-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3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I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  <w:vertAlign w:val="baseline"/>
              </w:rPr>
              <w:tab/>
            </w:r>
            <w:r>
              <w:rPr>
                <w:sz w:val="32"/>
                <w:vertAlign w:val="baseline"/>
              </w:rPr>
              <w:t>Soluble except: Ag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  <w:vertAlign w:val="baseline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Hg</w:t>
            </w:r>
            <w:r>
              <w:rPr>
                <w:sz w:val="32"/>
                <w:vertAlign w:val="subscript"/>
              </w:rPr>
              <w:t>2</w:t>
            </w:r>
          </w:p>
          <w:p>
            <w:pPr>
              <w:pStyle w:val="TableParagraph"/>
              <w:spacing w:line="121" w:lineRule="exact"/>
              <w:ind w:left="6249"/>
              <w:rPr>
                <w:sz w:val="21"/>
              </w:rPr>
            </w:pPr>
            <w:r>
              <w:rPr>
                <w:sz w:val="21"/>
              </w:rPr>
              <w:t>2+</w:t>
            </w:r>
          </w:p>
          <w:p>
            <w:pPr>
              <w:pStyle w:val="TableParagraph"/>
              <w:tabs>
                <w:tab w:pos="1840" w:val="left" w:leader="none"/>
              </w:tabs>
              <w:spacing w:before="176"/>
              <w:ind w:left="107"/>
              <w:rPr>
                <w:sz w:val="32"/>
              </w:rPr>
            </w:pPr>
            <w:r>
              <w:rPr>
                <w:sz w:val="32"/>
              </w:rPr>
              <w:t>F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  <w:vertAlign w:val="baseline"/>
              </w:rPr>
              <w:tab/>
            </w:r>
            <w:r>
              <w:rPr>
                <w:sz w:val="32"/>
                <w:vertAlign w:val="baseline"/>
              </w:rPr>
              <w:t>Soluble except: 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 Sr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8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Mg</w:t>
            </w:r>
            <w:r>
              <w:rPr>
                <w:sz w:val="32"/>
                <w:vertAlign w:val="superscript"/>
              </w:rPr>
              <w:t>2+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67"/>
              <w:ind w:left="220" w:right="211" w:firstLine="217"/>
              <w:rPr>
                <w:sz w:val="28"/>
              </w:rPr>
            </w:pPr>
            <w:r>
              <w:rPr>
                <w:sz w:val="28"/>
              </w:rPr>
              <w:t>AP/H </w:t>
            </w:r>
            <w:r>
              <w:rPr>
                <w:w w:val="95"/>
                <w:sz w:val="28"/>
              </w:rPr>
              <w:t>CBS-PM</w:t>
            </w:r>
          </w:p>
        </w:tc>
      </w:tr>
      <w:tr>
        <w:trPr>
          <w:trHeight w:val="1127" w:hRule="atLeast"/>
        </w:trPr>
        <w:tc>
          <w:tcPr>
            <w:tcW w:w="9739" w:type="dxa"/>
          </w:tcPr>
          <w:p>
            <w:pPr>
              <w:pStyle w:val="TableParagraph"/>
              <w:tabs>
                <w:tab w:pos="4581" w:val="left" w:leader="none"/>
                <w:tab w:pos="5319" w:val="left" w:leader="none"/>
                <w:tab w:pos="6128" w:val="left" w:leader="none"/>
                <w:tab w:pos="6937" w:val="left" w:leader="none"/>
              </w:tabs>
              <w:spacing w:line="110" w:lineRule="exact"/>
              <w:ind w:left="687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2+</w:t>
              <w:tab/>
              <w:t>2+</w:t>
              <w:tab/>
              <w:t>2+</w:t>
              <w:tab/>
              <w:t>2+</w:t>
            </w:r>
          </w:p>
          <w:p>
            <w:pPr>
              <w:pStyle w:val="TableParagraph"/>
              <w:tabs>
                <w:tab w:pos="1896" w:val="left" w:leader="none"/>
                <w:tab w:pos="4821" w:val="left" w:leader="none"/>
                <w:tab w:pos="5558" w:val="left" w:leader="none"/>
                <w:tab w:pos="6367" w:val="left" w:leader="none"/>
              </w:tabs>
              <w:spacing w:line="270" w:lineRule="exact"/>
              <w:ind w:left="107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  <w:vertAlign w:val="baseline"/>
              </w:rPr>
              <w:tab/>
              <w:t>Soluble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except: Ca</w:t>
              <w:tab/>
              <w:t>,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Sr</w:t>
              <w:tab/>
              <w:t>, Ba</w:t>
              <w:tab/>
              <w:t>,</w:t>
            </w:r>
            <w:r>
              <w:rPr>
                <w:spacing w:val="-1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Pb</w:t>
            </w:r>
          </w:p>
        </w:tc>
        <w:tc>
          <w:tcPr>
            <w:tcW w:w="1531" w:type="dxa"/>
          </w:tcPr>
          <w:p>
            <w:pPr>
              <w:pStyle w:val="TableParagraph"/>
              <w:spacing w:line="313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CBS-PBS</w:t>
            </w:r>
          </w:p>
        </w:tc>
      </w:tr>
      <w:tr>
        <w:trPr>
          <w:trHeight w:val="3085" w:hRule="atLeast"/>
        </w:trPr>
        <w:tc>
          <w:tcPr>
            <w:tcW w:w="9739" w:type="dxa"/>
          </w:tcPr>
          <w:p>
            <w:pPr>
              <w:pStyle w:val="TableParagraph"/>
              <w:spacing w:line="451" w:lineRule="exact"/>
              <w:ind w:left="107"/>
              <w:rPr>
                <w:i/>
                <w:sz w:val="40"/>
              </w:rPr>
            </w:pPr>
            <w:r>
              <w:rPr>
                <w:i/>
                <w:sz w:val="40"/>
              </w:rPr>
              <w:t>Generally Insoluble</w:t>
            </w:r>
          </w:p>
          <w:p>
            <w:pPr>
              <w:pStyle w:val="TableParagraph"/>
              <w:tabs>
                <w:tab w:pos="1806" w:val="left" w:leader="none"/>
              </w:tabs>
              <w:spacing w:line="278" w:lineRule="exact" w:before="368"/>
              <w:ind w:left="107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  <w:vertAlign w:val="baseline"/>
              </w:rPr>
              <w:t>,</w:t>
            </w:r>
            <w:r>
              <w:rPr>
                <w:spacing w:val="-2"/>
                <w:sz w:val="32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OH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  <w:vertAlign w:val="baseline"/>
              </w:rPr>
              <w:tab/>
            </w:r>
            <w:r>
              <w:rPr>
                <w:sz w:val="32"/>
                <w:vertAlign w:val="baseline"/>
              </w:rPr>
              <w:t>Insoluble except: Alkali metals and NH</w:t>
            </w:r>
            <w:r>
              <w:rPr>
                <w:spacing w:val="23"/>
                <w:sz w:val="32"/>
                <w:vertAlign w:val="baseline"/>
              </w:rPr>
              <w:t> </w:t>
            </w:r>
            <w:r>
              <w:rPr>
                <w:sz w:val="32"/>
                <w:vertAlign w:val="superscript"/>
              </w:rPr>
              <w:t>+</w:t>
            </w:r>
          </w:p>
          <w:p>
            <w:pPr>
              <w:pStyle w:val="TableParagraph"/>
              <w:spacing w:line="121" w:lineRule="exact"/>
              <w:ind w:right="234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  <w:p>
            <w:pPr>
              <w:pStyle w:val="TableParagraph"/>
              <w:spacing w:line="361" w:lineRule="exact"/>
              <w:ind w:left="1707"/>
              <w:rPr>
                <w:sz w:val="32"/>
              </w:rPr>
            </w:pPr>
            <w:r>
              <w:rPr>
                <w:sz w:val="32"/>
              </w:rPr>
              <w:t>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 Sr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baseline"/>
              </w:rPr>
              <w:t> somewhat soluble</w:t>
            </w:r>
          </w:p>
          <w:p>
            <w:pPr>
              <w:pStyle w:val="TableParagraph"/>
              <w:tabs>
                <w:tab w:pos="1578" w:val="left" w:leader="none"/>
                <w:tab w:pos="3189" w:val="left" w:leader="none"/>
                <w:tab w:pos="3946" w:val="left" w:leader="none"/>
                <w:tab w:pos="4312" w:val="left" w:leader="none"/>
                <w:tab w:pos="5543" w:val="right" w:leader="none"/>
              </w:tabs>
              <w:spacing w:line="36" w:lineRule="auto" w:before="951"/>
              <w:ind w:left="589" w:right="3952" w:hanging="482"/>
              <w:rPr>
                <w:sz w:val="21"/>
              </w:rPr>
            </w:pPr>
            <w:r>
              <w:rPr>
                <w:sz w:val="32"/>
              </w:rPr>
              <w:t>CO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PO </w:t>
            </w:r>
            <w:r>
              <w:rPr>
                <w:position w:val="15"/>
                <w:sz w:val="21"/>
              </w:rPr>
              <w:t>3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S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SO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C O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CrO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rFonts w:ascii="Times New Roman" w:hAnsi="Times New Roman"/>
                <w:position w:val="15"/>
                <w:sz w:val="21"/>
              </w:rPr>
              <w:t>  </w:t>
            </w:r>
            <w:r>
              <w:rPr>
                <w:sz w:val="21"/>
              </w:rPr>
              <w:t>3</w:t>
              <w:tab/>
              <w:t>4</w:t>
              <w:tab/>
              <w:t>3</w:t>
              <w:tab/>
              <w:t>2</w:t>
              <w:tab/>
              <w:t>4</w:t>
              <w:tab/>
              <w:t>4</w:t>
            </w:r>
          </w:p>
          <w:p>
            <w:pPr>
              <w:pStyle w:val="TableParagraph"/>
              <w:spacing w:line="255" w:lineRule="exact" w:before="25"/>
              <w:ind w:right="2407"/>
              <w:jc w:val="right"/>
              <w:rPr>
                <w:sz w:val="32"/>
              </w:rPr>
            </w:pPr>
            <w:r>
              <w:rPr>
                <w:sz w:val="32"/>
              </w:rPr>
              <w:t>Insoluble except: Alkali metals and NH </w:t>
            </w:r>
            <w:r>
              <w:rPr>
                <w:sz w:val="32"/>
                <w:vertAlign w:val="superscript"/>
              </w:rPr>
              <w:t>+</w:t>
            </w:r>
          </w:p>
          <w:p>
            <w:pPr>
              <w:pStyle w:val="TableParagraph"/>
              <w:spacing w:line="102" w:lineRule="exact"/>
              <w:ind w:right="252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42"/>
              <w:ind w:left="127" w:right="12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CBS</w:t>
            </w:r>
          </w:p>
        </w:tc>
      </w:tr>
    </w:tbl>
    <w:p>
      <w:pPr>
        <w:tabs>
          <w:tab w:pos="6700" w:val="left" w:leader="none"/>
        </w:tabs>
        <w:spacing w:line="265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Not Soluble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forms precipitate</w:t>
        <w:tab/>
      </w:r>
      <w:r>
        <w:rPr>
          <w:b/>
          <w:sz w:val="24"/>
        </w:rPr>
        <w:t>Soluble </w:t>
      </w:r>
      <w:r>
        <w:rPr>
          <w:sz w:val="24"/>
        </w:rPr>
        <w:t>= dissolves in water</w:t>
      </w:r>
      <w:r>
        <w:rPr>
          <w:spacing w:val="-3"/>
          <w:sz w:val="24"/>
        </w:rPr>
        <w:t> </w:t>
      </w:r>
      <w:r>
        <w:rPr>
          <w:sz w:val="24"/>
        </w:rPr>
        <w:t>(aqueous)</w:t>
      </w:r>
    </w:p>
    <w:sectPr>
      <w:type w:val="continuous"/>
      <w:pgSz w:w="12240" w:h="15840"/>
      <w:pgMar w:top="1280" w:bottom="280" w:left="5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Habecker</dc:creator>
  <dc:title>Solubility of Some Ionic Compounds in Water</dc:title>
  <dcterms:created xsi:type="dcterms:W3CDTF">2018-11-05T00:15:14Z</dcterms:created>
  <dcterms:modified xsi:type="dcterms:W3CDTF">2018-11-05T00:15:14Z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2018-11-05T00:00:00Z</vt:filetime>
  </property>
</Properties>
</file>